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2CDF3" w14:textId="3499DD0C" w:rsidR="00C94AE7" w:rsidRPr="00C94AE7" w:rsidRDefault="00C94AE7" w:rsidP="00C94AE7">
      <w:pPr>
        <w:spacing w:after="270" w:line="240" w:lineRule="auto"/>
        <w:outlineLvl w:val="0"/>
        <w:rPr>
          <w:rFonts w:eastAsia="Times New Roman" w:cs="Times New Roman"/>
          <w:b/>
          <w:bCs/>
          <w:kern w:val="36"/>
          <w:sz w:val="32"/>
          <w:szCs w:val="32"/>
          <w14:ligatures w14:val="none"/>
        </w:rPr>
      </w:pPr>
      <w:r w:rsidRPr="00C94AE7">
        <w:rPr>
          <w:rFonts w:eastAsia="Times New Roman" w:cs="Times New Roman"/>
          <w:b/>
          <w:bCs/>
          <w:kern w:val="36"/>
          <w:sz w:val="32"/>
          <w:szCs w:val="32"/>
          <w14:ligatures w14:val="none"/>
        </w:rPr>
        <w:t>Oncologic Chromosome Analysis – Non Blood - Bone Marrow</w:t>
      </w:r>
    </w:p>
    <w:p w14:paraId="5A03AB95" w14:textId="77777777" w:rsidR="00C94AE7" w:rsidRPr="00C94AE7" w:rsidRDefault="00C94AE7" w:rsidP="00C94AE7">
      <w:pPr>
        <w:shd w:val="clear" w:color="auto" w:fill="FFFFFF"/>
        <w:spacing w:after="300" w:line="240" w:lineRule="auto"/>
        <w:rPr>
          <w:rFonts w:eastAsia="Times New Roman" w:cs="Open Sans"/>
          <w:b/>
          <w:bCs/>
          <w:color w:val="171717"/>
          <w:kern w:val="0"/>
          <w:sz w:val="28"/>
          <w:szCs w:val="28"/>
          <w14:ligatures w14:val="none"/>
        </w:rPr>
      </w:pPr>
      <w:r w:rsidRPr="00C94AE7">
        <w:rPr>
          <w:rFonts w:eastAsia="Times New Roman" w:cs="Open Sans"/>
          <w:b/>
          <w:bCs/>
          <w:color w:val="171717"/>
          <w:kern w:val="0"/>
          <w:sz w:val="28"/>
          <w:szCs w:val="28"/>
          <w14:ligatures w14:val="none"/>
        </w:rPr>
        <w:t>Test Overview</w:t>
      </w:r>
    </w:p>
    <w:p w14:paraId="59DA57D5"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b/>
          <w:bCs/>
          <w:color w:val="171717"/>
          <w:kern w:val="0"/>
          <w:sz w:val="24"/>
          <w:szCs w:val="24"/>
          <w14:ligatures w14:val="none"/>
        </w:rPr>
        <w:t>CPT Code(s)</w:t>
      </w:r>
    </w:p>
    <w:p w14:paraId="28686504" w14:textId="0072552B"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88237, 88264, 88280</w:t>
      </w:r>
    </w:p>
    <w:p w14:paraId="47F80DBD"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b/>
          <w:bCs/>
          <w:color w:val="171717"/>
          <w:kern w:val="0"/>
          <w:sz w:val="24"/>
          <w:szCs w:val="24"/>
          <w14:ligatures w14:val="none"/>
        </w:rPr>
        <w:t>Methodology</w:t>
      </w:r>
    </w:p>
    <w:p w14:paraId="1233E9D9" w14:textId="77777777"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Culture / Microscopy / Karyotype</w:t>
      </w:r>
    </w:p>
    <w:p w14:paraId="6C9EE9AB"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b/>
          <w:bCs/>
          <w:color w:val="171717"/>
          <w:kern w:val="0"/>
          <w:sz w:val="24"/>
          <w:szCs w:val="24"/>
          <w14:ligatures w14:val="none"/>
        </w:rPr>
        <w:t>Specimen Requirements</w:t>
      </w:r>
    </w:p>
    <w:p w14:paraId="27773C09" w14:textId="77777777"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Container: Sodium Heparin (green top tube)</w:t>
      </w:r>
    </w:p>
    <w:p w14:paraId="2446E2F0" w14:textId="77777777"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Optimal Quantity: 2-4 ml</w:t>
      </w:r>
    </w:p>
    <w:p w14:paraId="4E7CD778" w14:textId="77777777"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Minimum Quantity: 1-2 ml</w:t>
      </w:r>
    </w:p>
    <w:p w14:paraId="2662FEF9" w14:textId="77777777"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Storage: Room Temperature</w:t>
      </w:r>
    </w:p>
    <w:p w14:paraId="3EDC4AE8" w14:textId="77777777"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Stability at Room Temperature: 8 hours, then refrigerate</w:t>
      </w:r>
    </w:p>
    <w:p w14:paraId="243285D1" w14:textId="77777777" w:rsid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Transportation: Avoid freezing or heating over 35</w:t>
      </w:r>
      <w:r w:rsidRPr="00C94AE7">
        <w:rPr>
          <w:rFonts w:eastAsia="Times New Roman" w:cs="Open Sans"/>
          <w:color w:val="171717"/>
          <w:kern w:val="0"/>
          <w:sz w:val="24"/>
          <w:szCs w:val="24"/>
          <w:vertAlign w:val="superscript"/>
          <w14:ligatures w14:val="none"/>
        </w:rPr>
        <w:t>O</w:t>
      </w:r>
      <w:r w:rsidRPr="00C94AE7">
        <w:rPr>
          <w:rFonts w:eastAsia="Times New Roman" w:cs="Open Sans"/>
          <w:color w:val="171717"/>
          <w:kern w:val="0"/>
          <w:sz w:val="24"/>
          <w:szCs w:val="24"/>
          <w14:ligatures w14:val="none"/>
        </w:rPr>
        <w:t>C</w:t>
      </w:r>
    </w:p>
    <w:p w14:paraId="73905B34"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p>
    <w:p w14:paraId="41446D1B"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b/>
          <w:bCs/>
          <w:color w:val="171717"/>
          <w:kern w:val="0"/>
          <w:sz w:val="24"/>
          <w:szCs w:val="24"/>
          <w14:ligatures w14:val="none"/>
        </w:rPr>
        <w:t>Turnaround Time</w:t>
      </w:r>
    </w:p>
    <w:p w14:paraId="791A77E7" w14:textId="77777777"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Final report in 5 days for 90% cases</w:t>
      </w:r>
    </w:p>
    <w:p w14:paraId="0776C39F" w14:textId="77777777" w:rsidR="00C94AE7" w:rsidRPr="00C94AE7" w:rsidRDefault="00C94AE7" w:rsidP="00C94AE7">
      <w:pPr>
        <w:shd w:val="clear" w:color="auto" w:fill="FFFFFF"/>
        <w:spacing w:after="300" w:line="240" w:lineRule="auto"/>
        <w:rPr>
          <w:rFonts w:eastAsia="Times New Roman" w:cs="Open Sans"/>
          <w:b/>
          <w:bCs/>
          <w:color w:val="171717"/>
          <w:kern w:val="0"/>
          <w:sz w:val="28"/>
          <w:szCs w:val="28"/>
          <w14:ligatures w14:val="none"/>
        </w:rPr>
      </w:pPr>
      <w:r w:rsidRPr="00C94AE7">
        <w:rPr>
          <w:rFonts w:eastAsia="Times New Roman" w:cs="Open Sans"/>
          <w:b/>
          <w:bCs/>
          <w:color w:val="171717"/>
          <w:kern w:val="0"/>
          <w:sz w:val="28"/>
          <w:szCs w:val="28"/>
          <w14:ligatures w14:val="none"/>
        </w:rPr>
        <w:t>Test Details</w:t>
      </w:r>
    </w:p>
    <w:p w14:paraId="723B510C"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b/>
          <w:bCs/>
          <w:color w:val="171717"/>
          <w:kern w:val="0"/>
          <w:sz w:val="24"/>
          <w:szCs w:val="24"/>
          <w14:ligatures w14:val="none"/>
        </w:rPr>
        <w:t>Clinical Significance</w:t>
      </w:r>
    </w:p>
    <w:p w14:paraId="68A13297" w14:textId="55A8F81C"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A chromosome analysis on bone marrow may be clinically significant to identify and diagnose acquired neoplastic conditions associated with indications such as, </w:t>
      </w:r>
      <w:r w:rsidR="00B45AD0" w:rsidRPr="00C94AE7">
        <w:rPr>
          <w:rFonts w:eastAsia="Times New Roman" w:cs="Open Sans"/>
          <w:color w:val="171717"/>
          <w:kern w:val="0"/>
          <w:sz w:val="24"/>
          <w:szCs w:val="24"/>
          <w14:ligatures w14:val="none"/>
        </w:rPr>
        <w:t>cytopenia</w:t>
      </w:r>
      <w:r w:rsidRPr="00C94AE7">
        <w:rPr>
          <w:rFonts w:eastAsia="Times New Roman" w:cs="Open Sans"/>
          <w:color w:val="171717"/>
          <w:kern w:val="0"/>
          <w:sz w:val="24"/>
          <w:szCs w:val="24"/>
          <w14:ligatures w14:val="none"/>
        </w:rPr>
        <w:t>, T-cell lymphoma, B-cell lymphoma, multiple myeloma, acute myeloid leukemia, acute lymphocytic lymphoma, chronic myeloid leukemia, chronic lymphocytic leukemia, </w:t>
      </w:r>
      <w:proofErr w:type="spellStart"/>
      <w:r w:rsidRPr="00C94AE7">
        <w:rPr>
          <w:rFonts w:eastAsia="Times New Roman" w:cs="Open Sans"/>
          <w:color w:val="171717"/>
          <w:kern w:val="0"/>
          <w:sz w:val="24"/>
          <w:szCs w:val="24"/>
          <w14:ligatures w14:val="none"/>
        </w:rPr>
        <w:t>myeloprolypherative</w:t>
      </w:r>
      <w:proofErr w:type="spellEnd"/>
      <w:r w:rsidRPr="00C94AE7">
        <w:rPr>
          <w:rFonts w:eastAsia="Times New Roman" w:cs="Open Sans"/>
          <w:color w:val="171717"/>
          <w:kern w:val="0"/>
          <w:sz w:val="24"/>
          <w:szCs w:val="24"/>
          <w14:ligatures w14:val="none"/>
        </w:rPr>
        <w:t> disorder and myelodysplastic syndrome.  It may also be relevant in cases to confirm or exclude the diagnosis of hematological malignancies based on morphology and track progress of treatment.</w:t>
      </w:r>
    </w:p>
    <w:p w14:paraId="0B1EC72A"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b/>
          <w:bCs/>
          <w:color w:val="171717"/>
          <w:kern w:val="0"/>
          <w:sz w:val="24"/>
          <w:szCs w:val="24"/>
          <w14:ligatures w14:val="none"/>
        </w:rPr>
        <w:t>Clinical Background</w:t>
      </w:r>
    </w:p>
    <w:p w14:paraId="36CB56D9" w14:textId="77777777"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 xml:space="preserve">In the hematologic malignant diseases, the recognized recurring chromosomal abnormalities often correlate with particular subtypes of leukemia that have characteristic morphologic and clinical features, such as response to therapy. One example of these abnormalities is the 15;17 translocation which is identified only in patients with promyelocytic leukemia. These consistent chromosomal aberrations acquired new </w:t>
      </w:r>
      <w:r w:rsidRPr="00C94AE7">
        <w:rPr>
          <w:rFonts w:eastAsia="Times New Roman" w:cs="Open Sans"/>
          <w:color w:val="171717"/>
          <w:kern w:val="0"/>
          <w:sz w:val="24"/>
          <w:szCs w:val="24"/>
          <w14:ligatures w14:val="none"/>
        </w:rPr>
        <w:lastRenderedPageBreak/>
        <w:t>significance with the localization of cellular transforming genes (oncogenes) to chromosome breakpoints that are involved in specific rearrangements.</w:t>
      </w:r>
    </w:p>
    <w:p w14:paraId="31CF8C56" w14:textId="54ED80E4"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 xml:space="preserve">Thus, the study of chromosomal abnormalities in leukemia serves most importantly to assist in more accurate diagnosis and thereby providing prognostic information and allowing the more rational selection of therapy for patients. Chromosome analysis on bone marrow serves as a diagnostic study for multiple relevant acquired chromosomal aberrations in one test, whereas molecular studies are significant in cases where a diagnosis has been made or a suspicion </w:t>
      </w:r>
      <w:r w:rsidR="00B45AD0" w:rsidRPr="00C94AE7">
        <w:rPr>
          <w:rFonts w:eastAsia="Times New Roman" w:cs="Open Sans"/>
          <w:color w:val="171717"/>
          <w:kern w:val="0"/>
          <w:sz w:val="24"/>
          <w:szCs w:val="24"/>
          <w14:ligatures w14:val="none"/>
        </w:rPr>
        <w:t>exists,</w:t>
      </w:r>
      <w:r w:rsidRPr="00C94AE7">
        <w:rPr>
          <w:rFonts w:eastAsia="Times New Roman" w:cs="Open Sans"/>
          <w:color w:val="171717"/>
          <w:kern w:val="0"/>
          <w:sz w:val="24"/>
          <w:szCs w:val="24"/>
          <w14:ligatures w14:val="none"/>
        </w:rPr>
        <w:t xml:space="preserve"> and specific testing is targeted.</w:t>
      </w:r>
    </w:p>
    <w:p w14:paraId="0247A05A"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b/>
          <w:bCs/>
          <w:color w:val="171717"/>
          <w:kern w:val="0"/>
          <w:sz w:val="24"/>
          <w:szCs w:val="24"/>
          <w14:ligatures w14:val="none"/>
        </w:rPr>
        <w:t>Methods</w:t>
      </w:r>
    </w:p>
    <w:p w14:paraId="10DF5FC2" w14:textId="78BE8DA6" w:rsidR="00C94AE7" w:rsidRPr="00C94AE7" w:rsidRDefault="00C94AE7" w:rsidP="00C94AE7">
      <w:pPr>
        <w:shd w:val="clear" w:color="auto" w:fill="FFFFFF"/>
        <w:spacing w:after="300"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 xml:space="preserve">Bone marrow samples are unstimulated.  They are harvested at 24 hours and if volume is sufficient, a 48 hour culture is also initiated followed by G-banding. </w:t>
      </w:r>
      <w:r w:rsidR="004C2DD4" w:rsidRPr="00AE1972">
        <w:rPr>
          <w:rFonts w:eastAsia="Times New Roman" w:cs="Open Sans"/>
          <w:color w:val="171717"/>
          <w:kern w:val="0"/>
          <w:sz w:val="24"/>
          <w:szCs w:val="24"/>
          <w14:ligatures w14:val="none"/>
        </w:rPr>
        <w:t xml:space="preserve">The </w:t>
      </w:r>
      <w:r w:rsidR="004C2DD4">
        <w:rPr>
          <w:rFonts w:eastAsia="Times New Roman" w:cs="Open Sans"/>
          <w:color w:val="171717"/>
          <w:kern w:val="0"/>
          <w:sz w:val="24"/>
          <w:szCs w:val="24"/>
          <w14:ligatures w14:val="none"/>
        </w:rPr>
        <w:t>bone marrow</w:t>
      </w:r>
      <w:r w:rsidR="004C2DD4" w:rsidRPr="00AE1972">
        <w:rPr>
          <w:rFonts w:eastAsia="Times New Roman" w:cs="Open Sans"/>
          <w:color w:val="171717"/>
          <w:kern w:val="0"/>
          <w:sz w:val="24"/>
          <w:szCs w:val="24"/>
          <w14:ligatures w14:val="none"/>
        </w:rPr>
        <w:t xml:space="preserve"> cells are studied at approximately 400 – 500 band level using </w:t>
      </w:r>
      <w:r w:rsidR="004C2DD4">
        <w:rPr>
          <w:rFonts w:eastAsia="Times New Roman" w:cs="Open Sans"/>
          <w:color w:val="171717"/>
          <w:kern w:val="0"/>
          <w:sz w:val="24"/>
          <w:szCs w:val="24"/>
          <w14:ligatures w14:val="none"/>
        </w:rPr>
        <w:t xml:space="preserve">the first </w:t>
      </w:r>
      <w:r w:rsidR="004C2DD4" w:rsidRPr="00AE1972">
        <w:rPr>
          <w:rFonts w:eastAsia="Times New Roman" w:cs="Open Sans"/>
          <w:color w:val="171717"/>
          <w:kern w:val="0"/>
          <w:sz w:val="24"/>
          <w:szCs w:val="24"/>
          <w14:ligatures w14:val="none"/>
        </w:rPr>
        <w:t xml:space="preserve">20 </w:t>
      </w:r>
      <w:r w:rsidR="004C2DD4">
        <w:rPr>
          <w:rFonts w:eastAsia="Times New Roman" w:cs="Open Sans"/>
          <w:color w:val="171717"/>
          <w:kern w:val="0"/>
          <w:sz w:val="24"/>
          <w:szCs w:val="24"/>
          <w14:ligatures w14:val="none"/>
        </w:rPr>
        <w:t xml:space="preserve">unselected </w:t>
      </w:r>
      <w:r w:rsidR="004C2DD4" w:rsidRPr="00AE1972">
        <w:rPr>
          <w:rFonts w:eastAsia="Times New Roman" w:cs="Open Sans"/>
          <w:color w:val="171717"/>
          <w:kern w:val="0"/>
          <w:sz w:val="24"/>
          <w:szCs w:val="24"/>
          <w14:ligatures w14:val="none"/>
        </w:rPr>
        <w:t>metaphases with complete analysis and</w:t>
      </w:r>
      <w:r w:rsidR="004C2DD4">
        <w:rPr>
          <w:rFonts w:eastAsia="Times New Roman" w:cs="Open Sans"/>
          <w:color w:val="171717"/>
          <w:kern w:val="0"/>
          <w:sz w:val="24"/>
          <w:szCs w:val="24"/>
          <w14:ligatures w14:val="none"/>
        </w:rPr>
        <w:t xml:space="preserve"> a minimum of 4</w:t>
      </w:r>
      <w:r w:rsidR="004C2DD4" w:rsidRPr="00AE1972">
        <w:rPr>
          <w:rFonts w:eastAsia="Times New Roman" w:cs="Open Sans"/>
          <w:color w:val="171717"/>
          <w:kern w:val="0"/>
          <w:sz w:val="24"/>
          <w:szCs w:val="24"/>
          <w14:ligatures w14:val="none"/>
        </w:rPr>
        <w:t xml:space="preserve"> karyotypes.</w:t>
      </w:r>
    </w:p>
    <w:p w14:paraId="64695EC2" w14:textId="77777777" w:rsidR="00C94AE7" w:rsidRPr="00C94AE7" w:rsidRDefault="00C94AE7" w:rsidP="00C94AE7">
      <w:pPr>
        <w:shd w:val="clear" w:color="auto" w:fill="FFFFFF"/>
        <w:spacing w:after="0" w:line="240" w:lineRule="auto"/>
        <w:rPr>
          <w:rFonts w:eastAsia="Times New Roman" w:cs="Open Sans"/>
          <w:color w:val="171717"/>
          <w:kern w:val="0"/>
          <w:sz w:val="24"/>
          <w:szCs w:val="24"/>
          <w14:ligatures w14:val="none"/>
        </w:rPr>
      </w:pPr>
      <w:r w:rsidRPr="00C94AE7">
        <w:rPr>
          <w:rFonts w:eastAsia="Times New Roman" w:cs="Open Sans"/>
          <w:b/>
          <w:bCs/>
          <w:color w:val="171717"/>
          <w:kern w:val="0"/>
          <w:sz w:val="24"/>
          <w:szCs w:val="24"/>
          <w14:ligatures w14:val="none"/>
        </w:rPr>
        <w:t>Interpretation of Results</w:t>
      </w:r>
    </w:p>
    <w:p w14:paraId="39651BAF" w14:textId="77777777" w:rsidR="00C94AE7" w:rsidRPr="00C94AE7" w:rsidRDefault="00C94AE7" w:rsidP="00C94AE7">
      <w:pPr>
        <w:shd w:val="clear" w:color="auto" w:fill="FFFFFF"/>
        <w:spacing w:line="240" w:lineRule="auto"/>
        <w:rPr>
          <w:rFonts w:eastAsia="Times New Roman" w:cs="Open Sans"/>
          <w:color w:val="171717"/>
          <w:kern w:val="0"/>
          <w:sz w:val="24"/>
          <w:szCs w:val="24"/>
          <w14:ligatures w14:val="none"/>
        </w:rPr>
      </w:pPr>
      <w:r w:rsidRPr="00C94AE7">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C94AE7">
        <w:rPr>
          <w:rFonts w:eastAsia="Times New Roman" w:cs="Open Sans"/>
          <w:b/>
          <w:bCs/>
          <w:color w:val="171717"/>
          <w:kern w:val="0"/>
          <w:sz w:val="24"/>
          <w:szCs w:val="24"/>
          <w14:ligatures w14:val="none"/>
        </w:rPr>
        <w:t> </w:t>
      </w:r>
      <w:r w:rsidRPr="00C94AE7">
        <w:rPr>
          <w:rFonts w:eastAsia="Times New Roman" w:cs="Open Sans"/>
          <w:color w:val="171717"/>
          <w:kern w:val="0"/>
          <w:sz w:val="24"/>
          <w:szCs w:val="24"/>
          <w14:ligatures w14:val="none"/>
        </w:rPr>
        <w:t>The final report identifies the chromosomal sex and modal chromosome number.  If abnormalities are present, they are explained in a paragraph which helps to clarify and correlate clinical findings with pathological morphology. FISH testing is recommended to support or confirm chromosome aberrations or when inconclusive results are found.  References are included in the report to help the referring physician with interpretation, which include books or journals that contain appropriate information.</w:t>
      </w:r>
    </w:p>
    <w:p w14:paraId="71A53D33" w14:textId="77777777" w:rsidR="00630883" w:rsidRPr="00C94AE7" w:rsidRDefault="00630883">
      <w:pPr>
        <w:rPr>
          <w:sz w:val="24"/>
          <w:szCs w:val="24"/>
        </w:rPr>
      </w:pPr>
    </w:p>
    <w:sectPr w:rsidR="00630883" w:rsidRPr="00C94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E7"/>
    <w:rsid w:val="00001E9E"/>
    <w:rsid w:val="00175ECF"/>
    <w:rsid w:val="0040463D"/>
    <w:rsid w:val="004C2DD4"/>
    <w:rsid w:val="00630883"/>
    <w:rsid w:val="00B45AD0"/>
    <w:rsid w:val="00C94AE7"/>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A04A"/>
  <w15:chartTrackingRefBased/>
  <w15:docId w15:val="{96F4E16E-DFCC-4975-A411-67169369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A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94A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94AE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94AE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94AE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94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AE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94AE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94AE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94AE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94AE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94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AE7"/>
    <w:rPr>
      <w:rFonts w:eastAsiaTheme="majorEastAsia" w:cstheme="majorBidi"/>
      <w:color w:val="272727" w:themeColor="text1" w:themeTint="D8"/>
    </w:rPr>
  </w:style>
  <w:style w:type="paragraph" w:styleId="Title">
    <w:name w:val="Title"/>
    <w:basedOn w:val="Normal"/>
    <w:next w:val="Normal"/>
    <w:link w:val="TitleChar"/>
    <w:uiPriority w:val="10"/>
    <w:qFormat/>
    <w:rsid w:val="00C94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AE7"/>
    <w:pPr>
      <w:spacing w:before="160"/>
      <w:jc w:val="center"/>
    </w:pPr>
    <w:rPr>
      <w:i/>
      <w:iCs/>
      <w:color w:val="404040" w:themeColor="text1" w:themeTint="BF"/>
    </w:rPr>
  </w:style>
  <w:style w:type="character" w:customStyle="1" w:styleId="QuoteChar">
    <w:name w:val="Quote Char"/>
    <w:basedOn w:val="DefaultParagraphFont"/>
    <w:link w:val="Quote"/>
    <w:uiPriority w:val="29"/>
    <w:rsid w:val="00C94AE7"/>
    <w:rPr>
      <w:i/>
      <w:iCs/>
      <w:color w:val="404040" w:themeColor="text1" w:themeTint="BF"/>
    </w:rPr>
  </w:style>
  <w:style w:type="paragraph" w:styleId="ListParagraph">
    <w:name w:val="List Paragraph"/>
    <w:basedOn w:val="Normal"/>
    <w:uiPriority w:val="34"/>
    <w:qFormat/>
    <w:rsid w:val="00C94AE7"/>
    <w:pPr>
      <w:ind w:left="720"/>
      <w:contextualSpacing/>
    </w:pPr>
  </w:style>
  <w:style w:type="character" w:styleId="IntenseEmphasis">
    <w:name w:val="Intense Emphasis"/>
    <w:basedOn w:val="DefaultParagraphFont"/>
    <w:uiPriority w:val="21"/>
    <w:qFormat/>
    <w:rsid w:val="00C94AE7"/>
    <w:rPr>
      <w:i/>
      <w:iCs/>
      <w:color w:val="2E74B5" w:themeColor="accent1" w:themeShade="BF"/>
    </w:rPr>
  </w:style>
  <w:style w:type="paragraph" w:styleId="IntenseQuote">
    <w:name w:val="Intense Quote"/>
    <w:basedOn w:val="Normal"/>
    <w:next w:val="Normal"/>
    <w:link w:val="IntenseQuoteChar"/>
    <w:uiPriority w:val="30"/>
    <w:qFormat/>
    <w:rsid w:val="00C94A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94AE7"/>
    <w:rPr>
      <w:i/>
      <w:iCs/>
      <w:color w:val="2E74B5" w:themeColor="accent1" w:themeShade="BF"/>
    </w:rPr>
  </w:style>
  <w:style w:type="character" w:styleId="IntenseReference">
    <w:name w:val="Intense Reference"/>
    <w:basedOn w:val="DefaultParagraphFont"/>
    <w:uiPriority w:val="32"/>
    <w:qFormat/>
    <w:rsid w:val="00C94AE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67969">
      <w:bodyDiv w:val="1"/>
      <w:marLeft w:val="0"/>
      <w:marRight w:val="0"/>
      <w:marTop w:val="0"/>
      <w:marBottom w:val="0"/>
      <w:divBdr>
        <w:top w:val="none" w:sz="0" w:space="0" w:color="auto"/>
        <w:left w:val="none" w:sz="0" w:space="0" w:color="auto"/>
        <w:bottom w:val="none" w:sz="0" w:space="0" w:color="auto"/>
        <w:right w:val="none" w:sz="0" w:space="0" w:color="auto"/>
      </w:divBdr>
      <w:divsChild>
        <w:div w:id="627860689">
          <w:marLeft w:val="0"/>
          <w:marRight w:val="0"/>
          <w:marTop w:val="0"/>
          <w:marBottom w:val="0"/>
          <w:divBdr>
            <w:top w:val="none" w:sz="0" w:space="0" w:color="auto"/>
            <w:left w:val="none" w:sz="0" w:space="0" w:color="auto"/>
            <w:bottom w:val="none" w:sz="0" w:space="0" w:color="auto"/>
            <w:right w:val="none" w:sz="0" w:space="0" w:color="auto"/>
          </w:divBdr>
          <w:divsChild>
            <w:div w:id="162283776">
              <w:marLeft w:val="0"/>
              <w:marRight w:val="0"/>
              <w:marTop w:val="0"/>
              <w:marBottom w:val="0"/>
              <w:divBdr>
                <w:top w:val="none" w:sz="0" w:space="0" w:color="auto"/>
                <w:left w:val="none" w:sz="0" w:space="0" w:color="auto"/>
                <w:bottom w:val="none" w:sz="0" w:space="0" w:color="auto"/>
                <w:right w:val="none" w:sz="0" w:space="0" w:color="auto"/>
              </w:divBdr>
              <w:divsChild>
                <w:div w:id="970208176">
                  <w:marLeft w:val="-225"/>
                  <w:marRight w:val="-225"/>
                  <w:marTop w:val="0"/>
                  <w:marBottom w:val="0"/>
                  <w:divBdr>
                    <w:top w:val="none" w:sz="0" w:space="0" w:color="auto"/>
                    <w:left w:val="none" w:sz="0" w:space="0" w:color="auto"/>
                    <w:bottom w:val="none" w:sz="0" w:space="0" w:color="auto"/>
                    <w:right w:val="none" w:sz="0" w:space="0" w:color="auto"/>
                  </w:divBdr>
                  <w:divsChild>
                    <w:div w:id="588659310">
                      <w:marLeft w:val="0"/>
                      <w:marRight w:val="0"/>
                      <w:marTop w:val="0"/>
                      <w:marBottom w:val="0"/>
                      <w:divBdr>
                        <w:top w:val="none" w:sz="0" w:space="0" w:color="auto"/>
                        <w:left w:val="none" w:sz="0" w:space="0" w:color="auto"/>
                        <w:bottom w:val="none" w:sz="0" w:space="0" w:color="auto"/>
                        <w:right w:val="none" w:sz="0" w:space="0" w:color="auto"/>
                      </w:divBdr>
                      <w:divsChild>
                        <w:div w:id="1518347918">
                          <w:marLeft w:val="0"/>
                          <w:marRight w:val="0"/>
                          <w:marTop w:val="0"/>
                          <w:marBottom w:val="0"/>
                          <w:divBdr>
                            <w:top w:val="none" w:sz="0" w:space="0" w:color="auto"/>
                            <w:left w:val="none" w:sz="0" w:space="0" w:color="auto"/>
                            <w:bottom w:val="none" w:sz="0" w:space="0" w:color="auto"/>
                            <w:right w:val="none" w:sz="0" w:space="0" w:color="auto"/>
                          </w:divBdr>
                          <w:divsChild>
                            <w:div w:id="743260774">
                              <w:marLeft w:val="0"/>
                              <w:marRight w:val="0"/>
                              <w:marTop w:val="0"/>
                              <w:marBottom w:val="0"/>
                              <w:divBdr>
                                <w:top w:val="none" w:sz="0" w:space="0" w:color="auto"/>
                                <w:left w:val="none" w:sz="0" w:space="0" w:color="auto"/>
                                <w:bottom w:val="none" w:sz="0" w:space="0" w:color="auto"/>
                                <w:right w:val="none" w:sz="0" w:space="0" w:color="auto"/>
                              </w:divBdr>
                              <w:divsChild>
                                <w:div w:id="1700204202">
                                  <w:marLeft w:val="0"/>
                                  <w:marRight w:val="0"/>
                                  <w:marTop w:val="0"/>
                                  <w:marBottom w:val="525"/>
                                  <w:divBdr>
                                    <w:top w:val="none" w:sz="0" w:space="0" w:color="auto"/>
                                    <w:left w:val="none" w:sz="0" w:space="0" w:color="auto"/>
                                    <w:bottom w:val="none" w:sz="0" w:space="0" w:color="auto"/>
                                    <w:right w:val="none" w:sz="0" w:space="0" w:color="auto"/>
                                  </w:divBdr>
                                  <w:divsChild>
                                    <w:div w:id="4085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2025-03-05T20:06:00Z</dcterms:created>
  <dcterms:modified xsi:type="dcterms:W3CDTF">2025-08-08T15:37:00Z</dcterms:modified>
</cp:coreProperties>
</file>