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561E2" w14:textId="60C11F4D" w:rsidR="008C3574" w:rsidRPr="008C3574" w:rsidRDefault="008C3574" w:rsidP="008C3574">
      <w:pPr>
        <w:shd w:val="clear" w:color="auto" w:fill="FFFFFF"/>
        <w:spacing w:after="225" w:line="240" w:lineRule="auto"/>
        <w:outlineLvl w:val="2"/>
        <w:rPr>
          <w:rFonts w:eastAsia="Times New Roman" w:cs="Times New Roman"/>
          <w:b/>
          <w:bCs/>
          <w:color w:val="171717"/>
          <w:kern w:val="0"/>
          <w:sz w:val="32"/>
          <w:szCs w:val="32"/>
          <w14:ligatures w14:val="none"/>
        </w:rPr>
      </w:pPr>
      <w:r w:rsidRPr="008C3574">
        <w:rPr>
          <w:rFonts w:eastAsia="Times New Roman" w:cs="Times New Roman"/>
          <w:b/>
          <w:bCs/>
          <w:color w:val="171717"/>
          <w:kern w:val="0"/>
          <w:sz w:val="32"/>
          <w:szCs w:val="32"/>
          <w14:ligatures w14:val="none"/>
        </w:rPr>
        <w:t>Fluorescence In Situ Hybridization – ALL Panels</w:t>
      </w:r>
    </w:p>
    <w:p w14:paraId="66199DD4" w14:textId="3DFC3922" w:rsidR="008C3574" w:rsidRDefault="008C3574" w:rsidP="008C3574">
      <w:pPr>
        <w:shd w:val="clear" w:color="auto" w:fill="FFFFFF"/>
        <w:spacing w:after="225" w:line="240" w:lineRule="auto"/>
        <w:outlineLvl w:val="2"/>
        <w:rPr>
          <w:rFonts w:eastAsia="Times New Roman" w:cs="Times New Roman"/>
          <w:b/>
          <w:bCs/>
          <w:color w:val="171717"/>
          <w:kern w:val="0"/>
          <w:sz w:val="28"/>
          <w:szCs w:val="28"/>
          <w14:ligatures w14:val="none"/>
        </w:rPr>
      </w:pPr>
      <w:r w:rsidRPr="008C3574">
        <w:rPr>
          <w:rFonts w:eastAsia="Times New Roman" w:cs="Times New Roman"/>
          <w:b/>
          <w:bCs/>
          <w:color w:val="171717"/>
          <w:kern w:val="0"/>
          <w:sz w:val="28"/>
          <w:szCs w:val="28"/>
          <w14:ligatures w14:val="none"/>
        </w:rPr>
        <w:t xml:space="preserve">ALL – </w:t>
      </w:r>
      <w:r w:rsidR="00BE099E">
        <w:rPr>
          <w:rFonts w:eastAsia="Times New Roman" w:cs="Times New Roman"/>
          <w:b/>
          <w:bCs/>
          <w:color w:val="171717"/>
          <w:kern w:val="0"/>
          <w:sz w:val="28"/>
          <w:szCs w:val="28"/>
          <w14:ligatures w14:val="none"/>
        </w:rPr>
        <w:t xml:space="preserve">Ph </w:t>
      </w:r>
      <w:r w:rsidR="00ED4ADE">
        <w:rPr>
          <w:rFonts w:eastAsia="Times New Roman" w:cs="Times New Roman"/>
          <w:b/>
          <w:bCs/>
          <w:color w:val="171717"/>
          <w:kern w:val="0"/>
          <w:sz w:val="28"/>
          <w:szCs w:val="28"/>
          <w14:ligatures w14:val="none"/>
        </w:rPr>
        <w:t>Extended</w:t>
      </w:r>
      <w:r w:rsidRPr="008C3574">
        <w:rPr>
          <w:rFonts w:eastAsia="Times New Roman" w:cs="Times New Roman"/>
          <w:b/>
          <w:bCs/>
          <w:color w:val="171717"/>
          <w:kern w:val="0"/>
          <w:sz w:val="28"/>
          <w:szCs w:val="28"/>
          <w14:ligatures w14:val="none"/>
        </w:rPr>
        <w:t xml:space="preserve"> Panel</w:t>
      </w:r>
    </w:p>
    <w:p w14:paraId="458C122B" w14:textId="1DEF7E2B" w:rsidR="0062433C" w:rsidRPr="0062433C" w:rsidRDefault="0062433C" w:rsidP="008C3574">
      <w:pPr>
        <w:shd w:val="clear" w:color="auto" w:fill="FFFFFF"/>
        <w:spacing w:after="225" w:line="240" w:lineRule="auto"/>
        <w:outlineLvl w:val="2"/>
        <w:rPr>
          <w:rFonts w:eastAsia="Times New Roman" w:cs="Times New Roman"/>
          <w:color w:val="171717"/>
          <w:kern w:val="0"/>
          <w:sz w:val="28"/>
          <w:szCs w:val="28"/>
          <w14:ligatures w14:val="none"/>
        </w:rPr>
      </w:pPr>
      <w:r>
        <w:rPr>
          <w:rFonts w:eastAsia="Times New Roman" w:cs="Times New Roman"/>
          <w:color w:val="171717"/>
          <w:kern w:val="0"/>
          <w:sz w:val="28"/>
          <w:szCs w:val="28"/>
          <w14:ligatures w14:val="none"/>
        </w:rPr>
        <w:t>This is the extensive ALL panel with all most all known and frequent genetic abnormalities included.</w:t>
      </w:r>
    </w:p>
    <w:p w14:paraId="06347735" w14:textId="7E0CD887" w:rsidR="008C3574" w:rsidRPr="008C3574" w:rsidRDefault="008C3574" w:rsidP="008C3574">
      <w:pPr>
        <w:shd w:val="clear" w:color="auto" w:fill="FFFFFF"/>
        <w:spacing w:after="225" w:line="240" w:lineRule="auto"/>
        <w:outlineLvl w:val="2"/>
        <w:rPr>
          <w:rFonts w:eastAsia="Times New Roman" w:cs="Times New Roman"/>
          <w:b/>
          <w:bCs/>
          <w:color w:val="171717"/>
          <w:kern w:val="0"/>
          <w:sz w:val="24"/>
          <w:szCs w:val="24"/>
          <w14:ligatures w14:val="none"/>
        </w:rPr>
      </w:pPr>
      <w:r w:rsidRPr="008C3574">
        <w:rPr>
          <w:rFonts w:eastAsia="Times New Roman" w:cs="Times New Roman"/>
          <w:b/>
          <w:bCs/>
          <w:color w:val="171717"/>
          <w:kern w:val="0"/>
          <w:sz w:val="24"/>
          <w:szCs w:val="24"/>
          <w14:ligatures w14:val="none"/>
        </w:rPr>
        <w:t>Probe List</w:t>
      </w:r>
    </w:p>
    <w:tbl>
      <w:tblPr>
        <w:tblW w:w="8090" w:type="dxa"/>
        <w:tblLook w:val="04A0" w:firstRow="1" w:lastRow="0" w:firstColumn="1" w:lastColumn="0" w:noHBand="0" w:noVBand="1"/>
      </w:tblPr>
      <w:tblGrid>
        <w:gridCol w:w="2820"/>
        <w:gridCol w:w="2390"/>
        <w:gridCol w:w="2880"/>
      </w:tblGrid>
      <w:tr w:rsidR="00ED4ADE" w:rsidRPr="00ED4ADE" w14:paraId="26595DF8" w14:textId="77777777" w:rsidTr="00ED4ADE">
        <w:trPr>
          <w:trHeight w:val="420"/>
        </w:trPr>
        <w:tc>
          <w:tcPr>
            <w:tcW w:w="2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F74921A" w14:textId="77777777" w:rsidR="00ED4ADE" w:rsidRPr="00ED4ADE" w:rsidRDefault="00ED4ADE" w:rsidP="00ED4ADE">
            <w:pPr>
              <w:spacing w:after="0" w:line="240" w:lineRule="auto"/>
              <w:rPr>
                <w:rFonts w:ascii="Calibri" w:eastAsia="Times New Roman" w:hAnsi="Calibri" w:cs="Calibri"/>
                <w:b/>
                <w:bCs/>
                <w:color w:val="000000"/>
                <w:kern w:val="0"/>
                <w:sz w:val="32"/>
                <w:szCs w:val="32"/>
                <w14:ligatures w14:val="none"/>
              </w:rPr>
            </w:pPr>
            <w:r w:rsidRPr="00ED4ADE">
              <w:rPr>
                <w:rFonts w:ascii="Calibri" w:eastAsia="Times New Roman" w:hAnsi="Calibri" w:cs="Calibri"/>
                <w:b/>
                <w:bCs/>
                <w:color w:val="000000"/>
                <w:kern w:val="0"/>
                <w:sz w:val="32"/>
                <w:szCs w:val="32"/>
                <w14:ligatures w14:val="none"/>
              </w:rPr>
              <w:t>ALL - Extended</w:t>
            </w:r>
          </w:p>
        </w:tc>
        <w:tc>
          <w:tcPr>
            <w:tcW w:w="2390" w:type="dxa"/>
            <w:tcBorders>
              <w:top w:val="single" w:sz="8" w:space="0" w:color="auto"/>
              <w:left w:val="nil"/>
              <w:bottom w:val="single" w:sz="4" w:space="0" w:color="auto"/>
              <w:right w:val="single" w:sz="4" w:space="0" w:color="auto"/>
            </w:tcBorders>
            <w:shd w:val="clear" w:color="auto" w:fill="auto"/>
            <w:noWrap/>
            <w:vAlign w:val="bottom"/>
            <w:hideMark/>
          </w:tcPr>
          <w:p w14:paraId="2615BFD8" w14:textId="77777777" w:rsidR="00ED4ADE" w:rsidRPr="00ED4ADE" w:rsidRDefault="00ED4ADE" w:rsidP="00ED4ADE">
            <w:pPr>
              <w:spacing w:after="0" w:line="240" w:lineRule="auto"/>
              <w:rPr>
                <w:rFonts w:ascii="Calibri" w:eastAsia="Times New Roman" w:hAnsi="Calibri" w:cs="Calibri"/>
                <w:color w:val="000000"/>
                <w:kern w:val="0"/>
                <w14:ligatures w14:val="none"/>
              </w:rPr>
            </w:pPr>
            <w:r w:rsidRPr="00ED4ADE">
              <w:rPr>
                <w:rFonts w:ascii="Calibri" w:eastAsia="Times New Roman" w:hAnsi="Calibri" w:cs="Calibri"/>
                <w:color w:val="000000"/>
                <w:kern w:val="0"/>
                <w14:ligatures w14:val="none"/>
              </w:rPr>
              <w:t> </w:t>
            </w:r>
          </w:p>
        </w:tc>
        <w:tc>
          <w:tcPr>
            <w:tcW w:w="2880" w:type="dxa"/>
            <w:tcBorders>
              <w:top w:val="single" w:sz="8" w:space="0" w:color="auto"/>
              <w:left w:val="nil"/>
              <w:bottom w:val="single" w:sz="4" w:space="0" w:color="auto"/>
              <w:right w:val="single" w:sz="4" w:space="0" w:color="auto"/>
            </w:tcBorders>
            <w:shd w:val="clear" w:color="auto" w:fill="auto"/>
            <w:noWrap/>
            <w:vAlign w:val="bottom"/>
            <w:hideMark/>
          </w:tcPr>
          <w:p w14:paraId="2B6D977D" w14:textId="77777777" w:rsidR="00ED4ADE" w:rsidRPr="00ED4ADE" w:rsidRDefault="00ED4ADE" w:rsidP="00ED4ADE">
            <w:pPr>
              <w:spacing w:after="0" w:line="240" w:lineRule="auto"/>
              <w:rPr>
                <w:rFonts w:ascii="Calibri" w:eastAsia="Times New Roman" w:hAnsi="Calibri" w:cs="Calibri"/>
                <w:color w:val="000000"/>
                <w:kern w:val="0"/>
                <w14:ligatures w14:val="none"/>
              </w:rPr>
            </w:pPr>
            <w:r w:rsidRPr="00ED4ADE">
              <w:rPr>
                <w:rFonts w:ascii="Calibri" w:eastAsia="Times New Roman" w:hAnsi="Calibri" w:cs="Calibri"/>
                <w:color w:val="000000"/>
                <w:kern w:val="0"/>
                <w14:ligatures w14:val="none"/>
              </w:rPr>
              <w:t> </w:t>
            </w:r>
          </w:p>
        </w:tc>
      </w:tr>
      <w:tr w:rsidR="00ED4ADE" w:rsidRPr="00ED4ADE" w14:paraId="42356CEA" w14:textId="77777777" w:rsidTr="00ED4ADE">
        <w:trPr>
          <w:trHeight w:val="315"/>
        </w:trPr>
        <w:tc>
          <w:tcPr>
            <w:tcW w:w="2820" w:type="dxa"/>
            <w:tcBorders>
              <w:top w:val="nil"/>
              <w:left w:val="single" w:sz="4" w:space="0" w:color="auto"/>
              <w:bottom w:val="single" w:sz="4" w:space="0" w:color="auto"/>
              <w:right w:val="single" w:sz="4" w:space="0" w:color="auto"/>
            </w:tcBorders>
            <w:shd w:val="clear" w:color="000000" w:fill="D0CECE"/>
            <w:noWrap/>
            <w:vAlign w:val="bottom"/>
            <w:hideMark/>
          </w:tcPr>
          <w:p w14:paraId="4D76B87A" w14:textId="77777777" w:rsidR="00ED4ADE" w:rsidRPr="00ED4ADE" w:rsidRDefault="00ED4ADE" w:rsidP="00ED4ADE">
            <w:pPr>
              <w:spacing w:after="0" w:line="240" w:lineRule="auto"/>
              <w:rPr>
                <w:rFonts w:ascii="Calibri" w:eastAsia="Times New Roman" w:hAnsi="Calibri" w:cs="Calibri"/>
                <w:b/>
                <w:bCs/>
                <w:color w:val="000000"/>
                <w:kern w:val="0"/>
                <w:sz w:val="24"/>
                <w:szCs w:val="24"/>
                <w14:ligatures w14:val="none"/>
              </w:rPr>
            </w:pPr>
            <w:r w:rsidRPr="00ED4ADE">
              <w:rPr>
                <w:rFonts w:ascii="Calibri" w:eastAsia="Times New Roman" w:hAnsi="Calibri" w:cs="Calibri"/>
                <w:b/>
                <w:bCs/>
                <w:color w:val="000000"/>
                <w:kern w:val="0"/>
                <w:sz w:val="24"/>
                <w:szCs w:val="24"/>
                <w14:ligatures w14:val="none"/>
              </w:rPr>
              <w:t>Probe Name</w:t>
            </w:r>
          </w:p>
        </w:tc>
        <w:tc>
          <w:tcPr>
            <w:tcW w:w="2390" w:type="dxa"/>
            <w:tcBorders>
              <w:top w:val="nil"/>
              <w:left w:val="nil"/>
              <w:bottom w:val="single" w:sz="4" w:space="0" w:color="auto"/>
              <w:right w:val="single" w:sz="4" w:space="0" w:color="auto"/>
            </w:tcBorders>
            <w:shd w:val="clear" w:color="000000" w:fill="D0CECE"/>
            <w:noWrap/>
            <w:vAlign w:val="bottom"/>
            <w:hideMark/>
          </w:tcPr>
          <w:p w14:paraId="5E9001CD" w14:textId="77777777" w:rsidR="00ED4ADE" w:rsidRPr="00ED4ADE" w:rsidRDefault="00ED4ADE" w:rsidP="00ED4ADE">
            <w:pPr>
              <w:spacing w:after="0" w:line="240" w:lineRule="auto"/>
              <w:rPr>
                <w:rFonts w:ascii="Calibri" w:eastAsia="Times New Roman" w:hAnsi="Calibri" w:cs="Calibri"/>
                <w:b/>
                <w:bCs/>
                <w:color w:val="000000"/>
                <w:kern w:val="0"/>
                <w:sz w:val="24"/>
                <w:szCs w:val="24"/>
                <w14:ligatures w14:val="none"/>
              </w:rPr>
            </w:pPr>
            <w:r w:rsidRPr="00ED4ADE">
              <w:rPr>
                <w:rFonts w:ascii="Calibri" w:eastAsia="Times New Roman" w:hAnsi="Calibri" w:cs="Calibri"/>
                <w:b/>
                <w:bCs/>
                <w:color w:val="000000"/>
                <w:kern w:val="0"/>
                <w:sz w:val="24"/>
                <w:szCs w:val="24"/>
                <w14:ligatures w14:val="none"/>
              </w:rPr>
              <w:t>Locus/CHR</w:t>
            </w:r>
          </w:p>
        </w:tc>
        <w:tc>
          <w:tcPr>
            <w:tcW w:w="2880" w:type="dxa"/>
            <w:tcBorders>
              <w:top w:val="nil"/>
              <w:left w:val="nil"/>
              <w:bottom w:val="single" w:sz="4" w:space="0" w:color="auto"/>
              <w:right w:val="single" w:sz="4" w:space="0" w:color="auto"/>
            </w:tcBorders>
            <w:shd w:val="clear" w:color="000000" w:fill="D0CECE"/>
            <w:noWrap/>
            <w:vAlign w:val="bottom"/>
            <w:hideMark/>
          </w:tcPr>
          <w:p w14:paraId="55A1FB60" w14:textId="77777777" w:rsidR="00ED4ADE" w:rsidRPr="00ED4ADE" w:rsidRDefault="00ED4ADE" w:rsidP="00ED4ADE">
            <w:pPr>
              <w:spacing w:after="0" w:line="240" w:lineRule="auto"/>
              <w:rPr>
                <w:rFonts w:ascii="Calibri" w:eastAsia="Times New Roman" w:hAnsi="Calibri" w:cs="Calibri"/>
                <w:b/>
                <w:bCs/>
                <w:color w:val="000000"/>
                <w:kern w:val="0"/>
                <w:sz w:val="24"/>
                <w:szCs w:val="24"/>
                <w14:ligatures w14:val="none"/>
              </w:rPr>
            </w:pPr>
            <w:r w:rsidRPr="00ED4ADE">
              <w:rPr>
                <w:rFonts w:ascii="Calibri" w:eastAsia="Times New Roman" w:hAnsi="Calibri" w:cs="Calibri"/>
                <w:b/>
                <w:bCs/>
                <w:color w:val="000000"/>
                <w:kern w:val="0"/>
                <w:sz w:val="24"/>
                <w:szCs w:val="24"/>
                <w14:ligatures w14:val="none"/>
              </w:rPr>
              <w:t>Catalogue #</w:t>
            </w:r>
          </w:p>
        </w:tc>
      </w:tr>
      <w:tr w:rsidR="00ED4ADE" w:rsidRPr="00ED4ADE" w14:paraId="10B55602" w14:textId="77777777" w:rsidTr="00ED4ADE">
        <w:trPr>
          <w:trHeight w:val="315"/>
        </w:trPr>
        <w:tc>
          <w:tcPr>
            <w:tcW w:w="2820" w:type="dxa"/>
            <w:tcBorders>
              <w:top w:val="nil"/>
              <w:left w:val="single" w:sz="8" w:space="0" w:color="auto"/>
              <w:bottom w:val="single" w:sz="4" w:space="0" w:color="auto"/>
              <w:right w:val="single" w:sz="4" w:space="0" w:color="auto"/>
            </w:tcBorders>
            <w:shd w:val="clear" w:color="000000" w:fill="FFFFFF"/>
            <w:noWrap/>
            <w:vAlign w:val="bottom"/>
            <w:hideMark/>
          </w:tcPr>
          <w:p w14:paraId="16A01B16" w14:textId="77777777" w:rsidR="00ED4ADE" w:rsidRPr="00EF334C" w:rsidRDefault="00ED4ADE" w:rsidP="00ED4ADE">
            <w:pPr>
              <w:spacing w:after="0" w:line="240" w:lineRule="auto"/>
              <w:rPr>
                <w:rFonts w:ascii="Calibri" w:eastAsia="Times New Roman" w:hAnsi="Calibri" w:cs="Calibri"/>
                <w:b/>
                <w:bCs/>
                <w:color w:val="000000"/>
                <w:kern w:val="0"/>
                <w:sz w:val="24"/>
                <w:szCs w:val="24"/>
                <w14:ligatures w14:val="none"/>
              </w:rPr>
            </w:pPr>
            <w:r w:rsidRPr="00EF334C">
              <w:rPr>
                <w:rFonts w:ascii="Calibri" w:eastAsia="Times New Roman" w:hAnsi="Calibri" w:cs="Calibri"/>
                <w:b/>
                <w:bCs/>
                <w:color w:val="000000"/>
                <w:kern w:val="0"/>
                <w:sz w:val="24"/>
                <w:szCs w:val="24"/>
                <w14:ligatures w14:val="none"/>
              </w:rPr>
              <w:t>FIP1L1/CHIC2/PDGFRA</w:t>
            </w:r>
          </w:p>
        </w:tc>
        <w:tc>
          <w:tcPr>
            <w:tcW w:w="2390" w:type="dxa"/>
            <w:tcBorders>
              <w:top w:val="nil"/>
              <w:left w:val="nil"/>
              <w:bottom w:val="single" w:sz="4" w:space="0" w:color="auto"/>
              <w:right w:val="single" w:sz="4" w:space="0" w:color="auto"/>
            </w:tcBorders>
            <w:shd w:val="clear" w:color="000000" w:fill="FFFFFF"/>
            <w:noWrap/>
            <w:vAlign w:val="bottom"/>
            <w:hideMark/>
          </w:tcPr>
          <w:p w14:paraId="173BD8D0"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4q12</w:t>
            </w:r>
          </w:p>
        </w:tc>
        <w:tc>
          <w:tcPr>
            <w:tcW w:w="2880" w:type="dxa"/>
            <w:tcBorders>
              <w:top w:val="nil"/>
              <w:left w:val="nil"/>
              <w:bottom w:val="single" w:sz="4" w:space="0" w:color="auto"/>
              <w:right w:val="single" w:sz="4" w:space="0" w:color="auto"/>
            </w:tcBorders>
            <w:shd w:val="clear" w:color="000000" w:fill="FFFFFF"/>
            <w:noWrap/>
            <w:vAlign w:val="bottom"/>
            <w:hideMark/>
          </w:tcPr>
          <w:p w14:paraId="6DF9516B"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Cytocell LPH032</w:t>
            </w:r>
          </w:p>
        </w:tc>
      </w:tr>
      <w:tr w:rsidR="00ED4ADE" w:rsidRPr="00ED4ADE" w14:paraId="493F977B" w14:textId="77777777" w:rsidTr="00ED4ADE">
        <w:trPr>
          <w:trHeight w:val="315"/>
        </w:trPr>
        <w:tc>
          <w:tcPr>
            <w:tcW w:w="2820" w:type="dxa"/>
            <w:tcBorders>
              <w:top w:val="nil"/>
              <w:left w:val="single" w:sz="4" w:space="0" w:color="auto"/>
              <w:bottom w:val="single" w:sz="4" w:space="0" w:color="auto"/>
              <w:right w:val="single" w:sz="4" w:space="0" w:color="auto"/>
            </w:tcBorders>
            <w:shd w:val="clear" w:color="000000" w:fill="FFFFFF"/>
            <w:noWrap/>
            <w:vAlign w:val="bottom"/>
            <w:hideMark/>
          </w:tcPr>
          <w:p w14:paraId="17B14001" w14:textId="77777777" w:rsidR="00ED4ADE" w:rsidRPr="00EF334C" w:rsidRDefault="00ED4ADE" w:rsidP="00ED4ADE">
            <w:pPr>
              <w:spacing w:after="0" w:line="240" w:lineRule="auto"/>
              <w:rPr>
                <w:rFonts w:ascii="Calibri" w:eastAsia="Times New Roman" w:hAnsi="Calibri" w:cs="Calibri"/>
                <w:b/>
                <w:bCs/>
                <w:color w:val="000000"/>
                <w:kern w:val="0"/>
                <w:sz w:val="24"/>
                <w:szCs w:val="24"/>
                <w14:ligatures w14:val="none"/>
              </w:rPr>
            </w:pPr>
            <w:r w:rsidRPr="00EF334C">
              <w:rPr>
                <w:rFonts w:ascii="Calibri" w:eastAsia="Times New Roman" w:hAnsi="Calibri" w:cs="Calibri"/>
                <w:b/>
                <w:bCs/>
                <w:color w:val="000000"/>
                <w:kern w:val="0"/>
                <w:sz w:val="24"/>
                <w:szCs w:val="24"/>
                <w14:ligatures w14:val="none"/>
              </w:rPr>
              <w:t>MYC</w:t>
            </w:r>
          </w:p>
        </w:tc>
        <w:tc>
          <w:tcPr>
            <w:tcW w:w="2390" w:type="dxa"/>
            <w:tcBorders>
              <w:top w:val="nil"/>
              <w:left w:val="nil"/>
              <w:bottom w:val="single" w:sz="4" w:space="0" w:color="auto"/>
              <w:right w:val="single" w:sz="4" w:space="0" w:color="auto"/>
            </w:tcBorders>
            <w:shd w:val="clear" w:color="000000" w:fill="FFFFFF"/>
            <w:noWrap/>
            <w:vAlign w:val="bottom"/>
            <w:hideMark/>
          </w:tcPr>
          <w:p w14:paraId="05F11F76"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8q24.21</w:t>
            </w:r>
          </w:p>
        </w:tc>
        <w:tc>
          <w:tcPr>
            <w:tcW w:w="2880" w:type="dxa"/>
            <w:tcBorders>
              <w:top w:val="nil"/>
              <w:left w:val="nil"/>
              <w:bottom w:val="single" w:sz="4" w:space="0" w:color="auto"/>
              <w:right w:val="single" w:sz="4" w:space="0" w:color="auto"/>
            </w:tcBorders>
            <w:shd w:val="clear" w:color="000000" w:fill="FFFFFF"/>
            <w:noWrap/>
            <w:vAlign w:val="bottom"/>
            <w:hideMark/>
          </w:tcPr>
          <w:p w14:paraId="0E50B515"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Cytocell LPH010</w:t>
            </w:r>
          </w:p>
        </w:tc>
      </w:tr>
      <w:tr w:rsidR="00ED4ADE" w:rsidRPr="00ED4ADE" w14:paraId="752489D3" w14:textId="77777777" w:rsidTr="00ED4ADE">
        <w:trPr>
          <w:trHeight w:val="315"/>
        </w:trPr>
        <w:tc>
          <w:tcPr>
            <w:tcW w:w="2820" w:type="dxa"/>
            <w:tcBorders>
              <w:top w:val="nil"/>
              <w:left w:val="single" w:sz="4" w:space="0" w:color="auto"/>
              <w:bottom w:val="single" w:sz="4" w:space="0" w:color="auto"/>
              <w:right w:val="single" w:sz="4" w:space="0" w:color="auto"/>
            </w:tcBorders>
            <w:shd w:val="clear" w:color="000000" w:fill="FFFFFF"/>
            <w:noWrap/>
            <w:vAlign w:val="bottom"/>
            <w:hideMark/>
          </w:tcPr>
          <w:p w14:paraId="27A33402" w14:textId="77777777" w:rsidR="00ED4ADE" w:rsidRPr="00EF334C" w:rsidRDefault="00ED4ADE" w:rsidP="00ED4ADE">
            <w:pPr>
              <w:spacing w:after="0" w:line="240" w:lineRule="auto"/>
              <w:rPr>
                <w:rFonts w:ascii="Calibri" w:eastAsia="Times New Roman" w:hAnsi="Calibri" w:cs="Calibri"/>
                <w:b/>
                <w:bCs/>
                <w:color w:val="000000"/>
                <w:kern w:val="0"/>
                <w:sz w:val="24"/>
                <w:szCs w:val="24"/>
                <w14:ligatures w14:val="none"/>
              </w:rPr>
            </w:pPr>
            <w:r w:rsidRPr="00EF334C">
              <w:rPr>
                <w:rFonts w:ascii="Calibri" w:eastAsia="Times New Roman" w:hAnsi="Calibri" w:cs="Calibri"/>
                <w:b/>
                <w:bCs/>
                <w:color w:val="000000"/>
                <w:kern w:val="0"/>
                <w:sz w:val="24"/>
                <w:szCs w:val="24"/>
                <w14:ligatures w14:val="none"/>
              </w:rPr>
              <w:t>CDKN2A/D9Z3</w:t>
            </w:r>
          </w:p>
        </w:tc>
        <w:tc>
          <w:tcPr>
            <w:tcW w:w="2390" w:type="dxa"/>
            <w:tcBorders>
              <w:top w:val="nil"/>
              <w:left w:val="nil"/>
              <w:bottom w:val="single" w:sz="4" w:space="0" w:color="auto"/>
              <w:right w:val="single" w:sz="4" w:space="0" w:color="auto"/>
            </w:tcBorders>
            <w:shd w:val="clear" w:color="000000" w:fill="FFFFFF"/>
            <w:noWrap/>
            <w:vAlign w:val="bottom"/>
            <w:hideMark/>
          </w:tcPr>
          <w:p w14:paraId="3B0F00E7"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9p21.3/9q12</w:t>
            </w:r>
          </w:p>
        </w:tc>
        <w:tc>
          <w:tcPr>
            <w:tcW w:w="2880" w:type="dxa"/>
            <w:tcBorders>
              <w:top w:val="nil"/>
              <w:left w:val="nil"/>
              <w:bottom w:val="single" w:sz="4" w:space="0" w:color="auto"/>
              <w:right w:val="single" w:sz="4" w:space="0" w:color="auto"/>
            </w:tcBorders>
            <w:shd w:val="clear" w:color="000000" w:fill="FFFFFF"/>
            <w:noWrap/>
            <w:vAlign w:val="bottom"/>
            <w:hideMark/>
          </w:tcPr>
          <w:p w14:paraId="49A25F08"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Cytocell LPH009</w:t>
            </w:r>
          </w:p>
        </w:tc>
      </w:tr>
      <w:tr w:rsidR="00ED4ADE" w:rsidRPr="00ED4ADE" w14:paraId="1B077660" w14:textId="77777777" w:rsidTr="00ED4ADE">
        <w:trPr>
          <w:trHeight w:val="315"/>
        </w:trPr>
        <w:tc>
          <w:tcPr>
            <w:tcW w:w="2820" w:type="dxa"/>
            <w:tcBorders>
              <w:top w:val="nil"/>
              <w:left w:val="single" w:sz="8" w:space="0" w:color="auto"/>
              <w:bottom w:val="single" w:sz="4" w:space="0" w:color="auto"/>
              <w:right w:val="single" w:sz="4" w:space="0" w:color="auto"/>
            </w:tcBorders>
            <w:shd w:val="clear" w:color="auto" w:fill="auto"/>
            <w:noWrap/>
            <w:vAlign w:val="bottom"/>
            <w:hideMark/>
          </w:tcPr>
          <w:p w14:paraId="15C84E47" w14:textId="77777777" w:rsidR="00ED4ADE" w:rsidRPr="00EF334C" w:rsidRDefault="00ED4ADE" w:rsidP="00ED4ADE">
            <w:pPr>
              <w:spacing w:after="0" w:line="240" w:lineRule="auto"/>
              <w:rPr>
                <w:rFonts w:ascii="Calibri" w:eastAsia="Times New Roman" w:hAnsi="Calibri" w:cs="Calibri"/>
                <w:b/>
                <w:bCs/>
                <w:color w:val="000000"/>
                <w:kern w:val="0"/>
                <w:sz w:val="24"/>
                <w:szCs w:val="24"/>
                <w14:ligatures w14:val="none"/>
              </w:rPr>
            </w:pPr>
            <w:r w:rsidRPr="00EF334C">
              <w:rPr>
                <w:rFonts w:ascii="Calibri" w:eastAsia="Times New Roman" w:hAnsi="Calibri" w:cs="Calibri"/>
                <w:b/>
                <w:bCs/>
                <w:color w:val="000000"/>
                <w:kern w:val="0"/>
                <w:sz w:val="24"/>
                <w:szCs w:val="24"/>
                <w14:ligatures w14:val="none"/>
              </w:rPr>
              <w:t>ASS1/ABL1/BCR</w:t>
            </w:r>
          </w:p>
        </w:tc>
        <w:tc>
          <w:tcPr>
            <w:tcW w:w="2390" w:type="dxa"/>
            <w:tcBorders>
              <w:top w:val="nil"/>
              <w:left w:val="nil"/>
              <w:bottom w:val="single" w:sz="4" w:space="0" w:color="auto"/>
              <w:right w:val="single" w:sz="4" w:space="0" w:color="auto"/>
            </w:tcBorders>
            <w:shd w:val="clear" w:color="auto" w:fill="auto"/>
            <w:noWrap/>
            <w:vAlign w:val="bottom"/>
            <w:hideMark/>
          </w:tcPr>
          <w:p w14:paraId="406FBF8D"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9q34/22q11.2</w:t>
            </w:r>
          </w:p>
        </w:tc>
        <w:tc>
          <w:tcPr>
            <w:tcW w:w="2880" w:type="dxa"/>
            <w:tcBorders>
              <w:top w:val="nil"/>
              <w:left w:val="nil"/>
              <w:bottom w:val="single" w:sz="4" w:space="0" w:color="auto"/>
              <w:right w:val="single" w:sz="4" w:space="0" w:color="auto"/>
            </w:tcBorders>
            <w:shd w:val="clear" w:color="auto" w:fill="auto"/>
            <w:noWrap/>
            <w:vAlign w:val="bottom"/>
            <w:hideMark/>
          </w:tcPr>
          <w:p w14:paraId="1A14622F"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Cytocell LPH038</w:t>
            </w:r>
          </w:p>
        </w:tc>
      </w:tr>
      <w:tr w:rsidR="00ED4ADE" w:rsidRPr="00ED4ADE" w14:paraId="042329AD" w14:textId="77777777" w:rsidTr="00ED4ADE">
        <w:trPr>
          <w:trHeight w:val="31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0854F76D" w14:textId="77777777" w:rsidR="00ED4ADE" w:rsidRPr="00EF334C" w:rsidRDefault="00ED4ADE" w:rsidP="00ED4ADE">
            <w:pPr>
              <w:spacing w:after="0" w:line="240" w:lineRule="auto"/>
              <w:rPr>
                <w:rFonts w:ascii="Calibri" w:eastAsia="Times New Roman" w:hAnsi="Calibri" w:cs="Calibri"/>
                <w:b/>
                <w:bCs/>
                <w:color w:val="000000"/>
                <w:kern w:val="0"/>
                <w:sz w:val="24"/>
                <w:szCs w:val="24"/>
                <w14:ligatures w14:val="none"/>
              </w:rPr>
            </w:pPr>
            <w:r w:rsidRPr="00EF334C">
              <w:rPr>
                <w:rFonts w:ascii="Calibri" w:eastAsia="Times New Roman" w:hAnsi="Calibri" w:cs="Calibri"/>
                <w:b/>
                <w:bCs/>
                <w:color w:val="000000"/>
                <w:kern w:val="0"/>
                <w:sz w:val="24"/>
                <w:szCs w:val="24"/>
                <w14:ligatures w14:val="none"/>
              </w:rPr>
              <w:t>D10Z1/D17Z1</w:t>
            </w:r>
          </w:p>
        </w:tc>
        <w:tc>
          <w:tcPr>
            <w:tcW w:w="2390" w:type="dxa"/>
            <w:tcBorders>
              <w:top w:val="nil"/>
              <w:left w:val="nil"/>
              <w:bottom w:val="single" w:sz="4" w:space="0" w:color="auto"/>
              <w:right w:val="single" w:sz="4" w:space="0" w:color="auto"/>
            </w:tcBorders>
            <w:shd w:val="clear" w:color="auto" w:fill="auto"/>
            <w:noWrap/>
            <w:vAlign w:val="bottom"/>
            <w:hideMark/>
          </w:tcPr>
          <w:p w14:paraId="3EA4CD11"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Chromosomes 10/17</w:t>
            </w:r>
          </w:p>
        </w:tc>
        <w:tc>
          <w:tcPr>
            <w:tcW w:w="2880" w:type="dxa"/>
            <w:tcBorders>
              <w:top w:val="nil"/>
              <w:left w:val="nil"/>
              <w:bottom w:val="single" w:sz="4" w:space="0" w:color="auto"/>
              <w:right w:val="single" w:sz="4" w:space="0" w:color="auto"/>
            </w:tcBorders>
            <w:shd w:val="clear" w:color="auto" w:fill="auto"/>
            <w:noWrap/>
            <w:vAlign w:val="bottom"/>
            <w:hideMark/>
          </w:tcPr>
          <w:p w14:paraId="535BCF0E"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Cytocell LPE010G/LPE017R</w:t>
            </w:r>
          </w:p>
        </w:tc>
      </w:tr>
      <w:tr w:rsidR="00ED4ADE" w:rsidRPr="00ED4ADE" w14:paraId="5CD2B0C9" w14:textId="77777777" w:rsidTr="00ED4ADE">
        <w:trPr>
          <w:trHeight w:val="31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5402804D" w14:textId="77777777" w:rsidR="00ED4ADE" w:rsidRPr="00EF334C" w:rsidRDefault="00ED4ADE" w:rsidP="00ED4ADE">
            <w:pPr>
              <w:spacing w:after="0" w:line="240" w:lineRule="auto"/>
              <w:rPr>
                <w:rFonts w:ascii="Calibri" w:eastAsia="Times New Roman" w:hAnsi="Calibri" w:cs="Calibri"/>
                <w:b/>
                <w:bCs/>
                <w:color w:val="000000"/>
                <w:kern w:val="0"/>
                <w:sz w:val="24"/>
                <w:szCs w:val="24"/>
                <w14:ligatures w14:val="none"/>
              </w:rPr>
            </w:pPr>
            <w:r w:rsidRPr="00EF334C">
              <w:rPr>
                <w:rFonts w:ascii="Calibri" w:eastAsia="Times New Roman" w:hAnsi="Calibri" w:cs="Calibri"/>
                <w:b/>
                <w:bCs/>
                <w:color w:val="000000"/>
                <w:kern w:val="0"/>
                <w:sz w:val="24"/>
                <w:szCs w:val="24"/>
                <w14:ligatures w14:val="none"/>
              </w:rPr>
              <w:t>KMT2A</w:t>
            </w:r>
          </w:p>
        </w:tc>
        <w:tc>
          <w:tcPr>
            <w:tcW w:w="2390" w:type="dxa"/>
            <w:tcBorders>
              <w:top w:val="nil"/>
              <w:left w:val="nil"/>
              <w:bottom w:val="single" w:sz="4" w:space="0" w:color="auto"/>
              <w:right w:val="single" w:sz="4" w:space="0" w:color="auto"/>
            </w:tcBorders>
            <w:shd w:val="clear" w:color="auto" w:fill="auto"/>
            <w:noWrap/>
            <w:vAlign w:val="bottom"/>
            <w:hideMark/>
          </w:tcPr>
          <w:p w14:paraId="7F00FB7C"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11q23.3</w:t>
            </w:r>
          </w:p>
        </w:tc>
        <w:tc>
          <w:tcPr>
            <w:tcW w:w="2880" w:type="dxa"/>
            <w:tcBorders>
              <w:top w:val="nil"/>
              <w:left w:val="nil"/>
              <w:bottom w:val="single" w:sz="4" w:space="0" w:color="auto"/>
              <w:right w:val="single" w:sz="4" w:space="0" w:color="auto"/>
            </w:tcBorders>
            <w:shd w:val="clear" w:color="auto" w:fill="auto"/>
            <w:noWrap/>
            <w:vAlign w:val="bottom"/>
            <w:hideMark/>
          </w:tcPr>
          <w:p w14:paraId="63BCCB5E"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Cytocell LPH013</w:t>
            </w:r>
          </w:p>
        </w:tc>
      </w:tr>
      <w:tr w:rsidR="00ED4ADE" w:rsidRPr="00ED4ADE" w14:paraId="61F1271A" w14:textId="77777777" w:rsidTr="00ED4ADE">
        <w:trPr>
          <w:trHeight w:val="31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19D4EE7B" w14:textId="77777777" w:rsidR="00ED4ADE" w:rsidRPr="00EF334C" w:rsidRDefault="00ED4ADE" w:rsidP="00ED4ADE">
            <w:pPr>
              <w:spacing w:after="0" w:line="240" w:lineRule="auto"/>
              <w:rPr>
                <w:rFonts w:ascii="Calibri" w:eastAsia="Times New Roman" w:hAnsi="Calibri" w:cs="Calibri"/>
                <w:b/>
                <w:bCs/>
                <w:color w:val="000000"/>
                <w:kern w:val="0"/>
                <w:sz w:val="24"/>
                <w:szCs w:val="24"/>
                <w14:ligatures w14:val="none"/>
              </w:rPr>
            </w:pPr>
            <w:r w:rsidRPr="00EF334C">
              <w:rPr>
                <w:rFonts w:ascii="Calibri" w:eastAsia="Times New Roman" w:hAnsi="Calibri" w:cs="Calibri"/>
                <w:b/>
                <w:bCs/>
                <w:color w:val="000000"/>
                <w:kern w:val="0"/>
                <w:sz w:val="24"/>
                <w:szCs w:val="24"/>
                <w14:ligatures w14:val="none"/>
              </w:rPr>
              <w:t>ETV6/RUNX1</w:t>
            </w:r>
          </w:p>
        </w:tc>
        <w:tc>
          <w:tcPr>
            <w:tcW w:w="2390" w:type="dxa"/>
            <w:tcBorders>
              <w:top w:val="nil"/>
              <w:left w:val="nil"/>
              <w:bottom w:val="single" w:sz="4" w:space="0" w:color="auto"/>
              <w:right w:val="single" w:sz="4" w:space="0" w:color="auto"/>
            </w:tcBorders>
            <w:shd w:val="clear" w:color="auto" w:fill="auto"/>
            <w:noWrap/>
            <w:vAlign w:val="bottom"/>
            <w:hideMark/>
          </w:tcPr>
          <w:p w14:paraId="18CDA7E6"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12p13.2/21q22.12</w:t>
            </w:r>
          </w:p>
        </w:tc>
        <w:tc>
          <w:tcPr>
            <w:tcW w:w="2880" w:type="dxa"/>
            <w:tcBorders>
              <w:top w:val="nil"/>
              <w:left w:val="nil"/>
              <w:bottom w:val="single" w:sz="4" w:space="0" w:color="auto"/>
              <w:right w:val="single" w:sz="4" w:space="0" w:color="auto"/>
            </w:tcBorders>
            <w:shd w:val="clear" w:color="auto" w:fill="auto"/>
            <w:noWrap/>
            <w:vAlign w:val="bottom"/>
            <w:hideMark/>
          </w:tcPr>
          <w:p w14:paraId="24AED369"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Cytocell LPH012</w:t>
            </w:r>
          </w:p>
        </w:tc>
      </w:tr>
      <w:tr w:rsidR="00ED4ADE" w:rsidRPr="00ED4ADE" w14:paraId="53DDB4A1" w14:textId="77777777" w:rsidTr="00ED4ADE">
        <w:trPr>
          <w:trHeight w:val="31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7B7606FB" w14:textId="77777777" w:rsidR="00ED4ADE" w:rsidRPr="00EF334C" w:rsidRDefault="00ED4ADE" w:rsidP="00ED4ADE">
            <w:pPr>
              <w:spacing w:after="0" w:line="240" w:lineRule="auto"/>
              <w:rPr>
                <w:rFonts w:ascii="Calibri" w:eastAsia="Times New Roman" w:hAnsi="Calibri" w:cs="Calibri"/>
                <w:b/>
                <w:bCs/>
                <w:color w:val="000000"/>
                <w:kern w:val="0"/>
                <w:sz w:val="24"/>
                <w:szCs w:val="24"/>
                <w14:ligatures w14:val="none"/>
              </w:rPr>
            </w:pPr>
            <w:r w:rsidRPr="00EF334C">
              <w:rPr>
                <w:rFonts w:ascii="Calibri" w:eastAsia="Times New Roman" w:hAnsi="Calibri" w:cs="Calibri"/>
                <w:b/>
                <w:bCs/>
                <w:color w:val="000000"/>
                <w:kern w:val="0"/>
                <w:sz w:val="24"/>
                <w:szCs w:val="24"/>
                <w14:ligatures w14:val="none"/>
              </w:rPr>
              <w:t>IGH</w:t>
            </w:r>
          </w:p>
        </w:tc>
        <w:tc>
          <w:tcPr>
            <w:tcW w:w="2390" w:type="dxa"/>
            <w:tcBorders>
              <w:top w:val="nil"/>
              <w:left w:val="nil"/>
              <w:bottom w:val="single" w:sz="4" w:space="0" w:color="auto"/>
              <w:right w:val="single" w:sz="4" w:space="0" w:color="auto"/>
            </w:tcBorders>
            <w:shd w:val="clear" w:color="auto" w:fill="auto"/>
            <w:noWrap/>
            <w:vAlign w:val="bottom"/>
            <w:hideMark/>
          </w:tcPr>
          <w:p w14:paraId="79F6B2A8"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14q32.33</w:t>
            </w:r>
          </w:p>
        </w:tc>
        <w:tc>
          <w:tcPr>
            <w:tcW w:w="2880" w:type="dxa"/>
            <w:tcBorders>
              <w:top w:val="nil"/>
              <w:left w:val="nil"/>
              <w:bottom w:val="single" w:sz="4" w:space="0" w:color="auto"/>
              <w:right w:val="single" w:sz="4" w:space="0" w:color="auto"/>
            </w:tcBorders>
            <w:shd w:val="clear" w:color="auto" w:fill="auto"/>
            <w:noWrap/>
            <w:vAlign w:val="bottom"/>
            <w:hideMark/>
          </w:tcPr>
          <w:p w14:paraId="0830D165"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Cytocell LPH014</w:t>
            </w:r>
          </w:p>
        </w:tc>
      </w:tr>
      <w:tr w:rsidR="00ED4ADE" w:rsidRPr="00ED4ADE" w14:paraId="4EE69C17" w14:textId="77777777" w:rsidTr="00ED4ADE">
        <w:trPr>
          <w:trHeight w:val="31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7B677361" w14:textId="77777777" w:rsidR="00ED4ADE" w:rsidRPr="00EF334C" w:rsidRDefault="00ED4ADE" w:rsidP="00ED4ADE">
            <w:pPr>
              <w:spacing w:after="0" w:line="240" w:lineRule="auto"/>
              <w:rPr>
                <w:rFonts w:ascii="Calibri" w:eastAsia="Times New Roman" w:hAnsi="Calibri" w:cs="Calibri"/>
                <w:b/>
                <w:bCs/>
                <w:color w:val="000000"/>
                <w:kern w:val="0"/>
                <w:sz w:val="24"/>
                <w:szCs w:val="24"/>
                <w14:ligatures w14:val="none"/>
              </w:rPr>
            </w:pPr>
            <w:r w:rsidRPr="00EF334C">
              <w:rPr>
                <w:rFonts w:ascii="Calibri" w:eastAsia="Times New Roman" w:hAnsi="Calibri" w:cs="Calibri"/>
                <w:b/>
                <w:bCs/>
                <w:color w:val="000000"/>
                <w:kern w:val="0"/>
                <w:sz w:val="24"/>
                <w:szCs w:val="24"/>
                <w14:ligatures w14:val="none"/>
              </w:rPr>
              <w:t>TCF3</w:t>
            </w:r>
          </w:p>
        </w:tc>
        <w:tc>
          <w:tcPr>
            <w:tcW w:w="2390" w:type="dxa"/>
            <w:tcBorders>
              <w:top w:val="nil"/>
              <w:left w:val="nil"/>
              <w:bottom w:val="single" w:sz="4" w:space="0" w:color="auto"/>
              <w:right w:val="single" w:sz="4" w:space="0" w:color="auto"/>
            </w:tcBorders>
            <w:shd w:val="clear" w:color="auto" w:fill="auto"/>
            <w:noWrap/>
            <w:vAlign w:val="bottom"/>
            <w:hideMark/>
          </w:tcPr>
          <w:p w14:paraId="4AC249D9"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19p13.3</w:t>
            </w:r>
          </w:p>
        </w:tc>
        <w:tc>
          <w:tcPr>
            <w:tcW w:w="2880" w:type="dxa"/>
            <w:tcBorders>
              <w:top w:val="nil"/>
              <w:left w:val="nil"/>
              <w:bottom w:val="single" w:sz="4" w:space="0" w:color="auto"/>
              <w:right w:val="single" w:sz="4" w:space="0" w:color="auto"/>
            </w:tcBorders>
            <w:shd w:val="clear" w:color="auto" w:fill="auto"/>
            <w:noWrap/>
            <w:vAlign w:val="bottom"/>
            <w:hideMark/>
          </w:tcPr>
          <w:p w14:paraId="1A97DC2E" w14:textId="77777777" w:rsidR="00ED4ADE" w:rsidRPr="00ED4ADE" w:rsidRDefault="00ED4ADE" w:rsidP="00ED4ADE">
            <w:pPr>
              <w:spacing w:after="0" w:line="240" w:lineRule="auto"/>
              <w:rPr>
                <w:rFonts w:ascii="Calibri" w:eastAsia="Times New Roman" w:hAnsi="Calibri" w:cs="Calibri"/>
                <w:color w:val="000000"/>
                <w:kern w:val="0"/>
                <w:sz w:val="24"/>
                <w:szCs w:val="24"/>
                <w14:ligatures w14:val="none"/>
              </w:rPr>
            </w:pPr>
            <w:r w:rsidRPr="00ED4ADE">
              <w:rPr>
                <w:rFonts w:ascii="Calibri" w:eastAsia="Times New Roman" w:hAnsi="Calibri" w:cs="Calibri"/>
                <w:color w:val="000000"/>
                <w:kern w:val="0"/>
                <w:sz w:val="24"/>
                <w:szCs w:val="24"/>
                <w14:ligatures w14:val="none"/>
              </w:rPr>
              <w:t>Cytocell LPH019</w:t>
            </w:r>
          </w:p>
        </w:tc>
      </w:tr>
    </w:tbl>
    <w:p w14:paraId="7DD4C7F2" w14:textId="77777777" w:rsidR="008C3574" w:rsidRPr="008C3574" w:rsidRDefault="008C3574" w:rsidP="008C3574">
      <w:pPr>
        <w:shd w:val="clear" w:color="auto" w:fill="FFFFFF"/>
        <w:spacing w:after="225" w:line="240" w:lineRule="auto"/>
        <w:outlineLvl w:val="2"/>
        <w:rPr>
          <w:rFonts w:eastAsia="Times New Roman" w:cs="Times New Roman"/>
          <w:color w:val="171717"/>
          <w:kern w:val="0"/>
          <w:sz w:val="24"/>
          <w:szCs w:val="24"/>
          <w14:ligatures w14:val="none"/>
        </w:rPr>
      </w:pPr>
    </w:p>
    <w:p w14:paraId="68E8EC8C" w14:textId="77777777" w:rsidR="008C3574" w:rsidRPr="008C3574" w:rsidRDefault="008C3574" w:rsidP="008C3574">
      <w:pPr>
        <w:shd w:val="clear" w:color="auto" w:fill="FFFFFF"/>
        <w:spacing w:after="300" w:line="240" w:lineRule="auto"/>
        <w:rPr>
          <w:rFonts w:eastAsia="Times New Roman" w:cs="Open Sans"/>
          <w:b/>
          <w:bCs/>
          <w:color w:val="171717"/>
          <w:kern w:val="0"/>
          <w:sz w:val="24"/>
          <w:szCs w:val="24"/>
          <w14:ligatures w14:val="none"/>
        </w:rPr>
      </w:pPr>
      <w:r w:rsidRPr="008C3574">
        <w:rPr>
          <w:rFonts w:eastAsia="Times New Roman" w:cs="Open Sans"/>
          <w:b/>
          <w:bCs/>
          <w:color w:val="171717"/>
          <w:kern w:val="0"/>
          <w:sz w:val="24"/>
          <w:szCs w:val="24"/>
          <w14:ligatures w14:val="none"/>
        </w:rPr>
        <w:t>Test Overview</w:t>
      </w:r>
    </w:p>
    <w:p w14:paraId="4AC7A1B5"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CPT Code(s)</w:t>
      </w:r>
    </w:p>
    <w:p w14:paraId="67937757" w14:textId="086E45C1"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88271</w:t>
      </w:r>
      <w:r>
        <w:rPr>
          <w:rFonts w:eastAsia="Times New Roman" w:cs="Open Sans"/>
          <w:color w:val="171717"/>
          <w:kern w:val="0"/>
          <w:sz w:val="24"/>
          <w:szCs w:val="24"/>
          <w14:ligatures w14:val="none"/>
        </w:rPr>
        <w:t>x</w:t>
      </w:r>
      <w:r w:rsidR="00ED4ADE">
        <w:rPr>
          <w:rFonts w:eastAsia="Times New Roman" w:cs="Open Sans"/>
          <w:color w:val="171717"/>
          <w:kern w:val="0"/>
          <w:sz w:val="24"/>
          <w:szCs w:val="24"/>
          <w14:ligatures w14:val="none"/>
        </w:rPr>
        <w:t>10</w:t>
      </w:r>
      <w:r w:rsidRPr="008C3574">
        <w:rPr>
          <w:rFonts w:eastAsia="Times New Roman" w:cs="Open Sans"/>
          <w:color w:val="171717"/>
          <w:kern w:val="0"/>
          <w:sz w:val="24"/>
          <w:szCs w:val="24"/>
          <w14:ligatures w14:val="none"/>
        </w:rPr>
        <w:t>, 88275</w:t>
      </w:r>
      <w:r>
        <w:rPr>
          <w:rFonts w:eastAsia="Times New Roman" w:cs="Open Sans"/>
          <w:color w:val="171717"/>
          <w:kern w:val="0"/>
          <w:sz w:val="24"/>
          <w:szCs w:val="24"/>
          <w14:ligatures w14:val="none"/>
        </w:rPr>
        <w:t>x</w:t>
      </w:r>
      <w:r w:rsidR="00ED4ADE">
        <w:rPr>
          <w:rFonts w:eastAsia="Times New Roman" w:cs="Open Sans"/>
          <w:color w:val="171717"/>
          <w:kern w:val="0"/>
          <w:sz w:val="24"/>
          <w:szCs w:val="24"/>
          <w14:ligatures w14:val="none"/>
        </w:rPr>
        <w:t>10</w:t>
      </w:r>
    </w:p>
    <w:p w14:paraId="1F56359A"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Methodology</w:t>
      </w:r>
    </w:p>
    <w:p w14:paraId="49530520"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Culture/Hybridization/Microscopy/Interpretation</w:t>
      </w:r>
    </w:p>
    <w:p w14:paraId="10F86E9A"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Specimen Requirements</w:t>
      </w:r>
    </w:p>
    <w:p w14:paraId="25B7B27C"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i/>
          <w:iCs/>
          <w:color w:val="171717"/>
          <w:kern w:val="0"/>
          <w:sz w:val="24"/>
          <w:szCs w:val="24"/>
          <w14:ligatures w14:val="none"/>
        </w:rPr>
        <w:t>Bone Marrow and/or Leukemia Blood</w:t>
      </w:r>
    </w:p>
    <w:p w14:paraId="1346FCCA"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Container: Sodium Heparin (green top tube)</w:t>
      </w:r>
    </w:p>
    <w:p w14:paraId="255C9EA3"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Optimal Quantity: 2-3 ml</w:t>
      </w:r>
    </w:p>
    <w:p w14:paraId="6D3E911A"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Minimum Quantity: 1-2 ml</w:t>
      </w:r>
    </w:p>
    <w:p w14:paraId="14519400"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Storage: Room Temperature</w:t>
      </w:r>
    </w:p>
    <w:p w14:paraId="18A779BA"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Stability at Room Temperature: 8 hours, then refrigerate</w:t>
      </w:r>
    </w:p>
    <w:p w14:paraId="6BF5911C" w14:textId="77777777" w:rsid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lastRenderedPageBreak/>
        <w:t>Transportation: Avoid freezing or heating over 35</w:t>
      </w:r>
      <w:r w:rsidRPr="008C3574">
        <w:rPr>
          <w:rFonts w:eastAsia="Times New Roman" w:cs="Open Sans"/>
          <w:color w:val="171717"/>
          <w:kern w:val="0"/>
          <w:sz w:val="24"/>
          <w:szCs w:val="24"/>
          <w:vertAlign w:val="superscript"/>
          <w14:ligatures w14:val="none"/>
        </w:rPr>
        <w:t>o</w:t>
      </w:r>
      <w:r w:rsidRPr="008C3574">
        <w:rPr>
          <w:rFonts w:eastAsia="Times New Roman" w:cs="Open Sans"/>
          <w:color w:val="171717"/>
          <w:kern w:val="0"/>
          <w:sz w:val="24"/>
          <w:szCs w:val="24"/>
          <w14:ligatures w14:val="none"/>
        </w:rPr>
        <w:t>C</w:t>
      </w:r>
    </w:p>
    <w:p w14:paraId="4E613277" w14:textId="77777777" w:rsidR="00FD50E9" w:rsidRDefault="00FD50E9" w:rsidP="00FD50E9">
      <w:pPr>
        <w:shd w:val="clear" w:color="auto" w:fill="FFFFFF"/>
        <w:spacing w:after="0" w:line="240" w:lineRule="auto"/>
        <w:rPr>
          <w:rFonts w:eastAsia="Times New Roman" w:cs="Open Sans"/>
          <w:b/>
          <w:bCs/>
          <w:color w:val="171717"/>
          <w:kern w:val="0"/>
          <w:sz w:val="24"/>
          <w:szCs w:val="24"/>
          <w14:ligatures w14:val="none"/>
        </w:rPr>
      </w:pPr>
    </w:p>
    <w:p w14:paraId="040AA266" w14:textId="7F2876C4" w:rsidR="00FD50E9" w:rsidRPr="009A6D14" w:rsidRDefault="00FD50E9" w:rsidP="00FD50E9">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Turnaround Time</w:t>
      </w:r>
    </w:p>
    <w:p w14:paraId="2704D33C" w14:textId="77777777" w:rsidR="00FD50E9" w:rsidRPr="009A6D14" w:rsidRDefault="00FD50E9" w:rsidP="00FD50E9">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Final report in </w:t>
      </w:r>
      <w:r>
        <w:rPr>
          <w:rFonts w:eastAsia="Times New Roman" w:cs="Open Sans"/>
          <w:color w:val="171717"/>
          <w:kern w:val="0"/>
          <w:sz w:val="24"/>
          <w:szCs w:val="24"/>
          <w14:ligatures w14:val="none"/>
        </w:rPr>
        <w:t>7-10</w:t>
      </w:r>
      <w:r w:rsidRPr="009A6D14">
        <w:rPr>
          <w:rFonts w:eastAsia="Times New Roman" w:cs="Open Sans"/>
          <w:color w:val="171717"/>
          <w:kern w:val="0"/>
          <w:sz w:val="24"/>
          <w:szCs w:val="24"/>
          <w14:ligatures w14:val="none"/>
        </w:rPr>
        <w:t xml:space="preserve"> days </w:t>
      </w:r>
    </w:p>
    <w:p w14:paraId="46CCD662" w14:textId="77777777" w:rsidR="008C3574" w:rsidRPr="008C3574" w:rsidRDefault="008C3574" w:rsidP="008C3574">
      <w:pPr>
        <w:shd w:val="clear" w:color="auto" w:fill="FFFFFF"/>
        <w:spacing w:after="300" w:line="240" w:lineRule="auto"/>
        <w:rPr>
          <w:rFonts w:eastAsia="Times New Roman" w:cs="Open Sans"/>
          <w:b/>
          <w:bCs/>
          <w:color w:val="171717"/>
          <w:kern w:val="0"/>
          <w:sz w:val="24"/>
          <w:szCs w:val="24"/>
          <w14:ligatures w14:val="none"/>
        </w:rPr>
      </w:pPr>
      <w:r w:rsidRPr="008C3574">
        <w:rPr>
          <w:rFonts w:eastAsia="Times New Roman" w:cs="Open Sans"/>
          <w:b/>
          <w:bCs/>
          <w:color w:val="171717"/>
          <w:kern w:val="0"/>
          <w:sz w:val="24"/>
          <w:szCs w:val="24"/>
          <w14:ligatures w14:val="none"/>
        </w:rPr>
        <w:t>Test Details</w:t>
      </w:r>
    </w:p>
    <w:p w14:paraId="3B494724"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Clinical Significance</w:t>
      </w:r>
    </w:p>
    <w:p w14:paraId="053B0C3E" w14:textId="3DF54951"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 xml:space="preserve">Fluorescence in situ hybridization (FISH) is a sensitive method to detect smaller genomic changes associated with various hematological malignancies and solid tumors.  There are several advantages with FISH technology over routine chromosome analysis and such advantages include the ability of FISH technology to detect genomic abnormalities in non-viable and non-dividing tissues, rapid turnaround time, and increased </w:t>
      </w:r>
      <w:r w:rsidR="00CC0DCD">
        <w:rPr>
          <w:rFonts w:eastAsia="Times New Roman" w:cs="Open Sans"/>
          <w:color w:val="171717"/>
          <w:kern w:val="0"/>
          <w:sz w:val="24"/>
          <w:szCs w:val="24"/>
          <w14:ligatures w14:val="none"/>
        </w:rPr>
        <w:t>r</w:t>
      </w:r>
      <w:r w:rsidRPr="008C3574">
        <w:rPr>
          <w:rFonts w:eastAsia="Times New Roman" w:cs="Open Sans"/>
          <w:color w:val="171717"/>
          <w:kern w:val="0"/>
          <w:sz w:val="24"/>
          <w:szCs w:val="24"/>
          <w14:ligatures w14:val="none"/>
        </w:rPr>
        <w:t>esolution.  However, FISH technology is complementary to routine chromosome analysis and cannot substitute routine chromosome analysis for diagnosis of cancer.</w:t>
      </w:r>
    </w:p>
    <w:p w14:paraId="45516A09"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Clinical Background</w:t>
      </w:r>
    </w:p>
    <w:p w14:paraId="5F5DA7FF" w14:textId="24E2B903"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 xml:space="preserve">Acute lymphoblastic/lymphocytic leukemia (ALL) is the most common hematological malignancy seen in children.  A large number of specific chromosome abnormalities and/or gene rearrangements are seen in patients with ALL with the incidence of such abnormalities ranging from 65-85% for adults and 60-70% for children.  Detection of these abnormalities </w:t>
      </w:r>
      <w:r w:rsidR="00CC0DCD" w:rsidRPr="008C3574">
        <w:rPr>
          <w:rFonts w:eastAsia="Times New Roman" w:cs="Open Sans"/>
          <w:color w:val="171717"/>
          <w:kern w:val="0"/>
          <w:sz w:val="24"/>
          <w:szCs w:val="24"/>
          <w14:ligatures w14:val="none"/>
        </w:rPr>
        <w:t>is</w:t>
      </w:r>
      <w:r w:rsidRPr="008C3574">
        <w:rPr>
          <w:rFonts w:eastAsia="Times New Roman" w:cs="Open Sans"/>
          <w:color w:val="171717"/>
          <w:kern w:val="0"/>
          <w:sz w:val="24"/>
          <w:szCs w:val="24"/>
          <w14:ligatures w14:val="none"/>
        </w:rPr>
        <w:t xml:space="preserve"> vital in stratification of patients into different treatment </w:t>
      </w:r>
      <w:r w:rsidR="00CC0DCD" w:rsidRPr="008C3574">
        <w:rPr>
          <w:rFonts w:eastAsia="Times New Roman" w:cs="Open Sans"/>
          <w:color w:val="171717"/>
          <w:kern w:val="0"/>
          <w:sz w:val="24"/>
          <w:szCs w:val="24"/>
          <w14:ligatures w14:val="none"/>
        </w:rPr>
        <w:t>groups,</w:t>
      </w:r>
      <w:r w:rsidRPr="008C3574">
        <w:rPr>
          <w:rFonts w:eastAsia="Times New Roman" w:cs="Open Sans"/>
          <w:color w:val="171717"/>
          <w:kern w:val="0"/>
          <w:sz w:val="24"/>
          <w:szCs w:val="24"/>
          <w14:ligatures w14:val="none"/>
        </w:rPr>
        <w:t xml:space="preserve"> and it is now mandatory to carry out chromosome and FISH studies, especially in children, for enrollment into Children’s Oncology Group (COG) treatment protocols. Although majority of such abnormalities can be detected on routine chromosome analysis, interphase FISH analysis due to its high sensitivity can detect low-level clones thus </w:t>
      </w:r>
      <w:r w:rsidR="0058420B">
        <w:rPr>
          <w:rFonts w:eastAsia="Times New Roman" w:cs="Open Sans"/>
          <w:color w:val="171717"/>
          <w:kern w:val="0"/>
          <w:sz w:val="24"/>
          <w:szCs w:val="24"/>
          <w14:ligatures w14:val="none"/>
        </w:rPr>
        <w:t>i</w:t>
      </w:r>
      <w:r w:rsidRPr="008C3574">
        <w:rPr>
          <w:rFonts w:eastAsia="Times New Roman" w:cs="Open Sans"/>
          <w:color w:val="171717"/>
          <w:kern w:val="0"/>
          <w:sz w:val="24"/>
          <w:szCs w:val="24"/>
          <w14:ligatures w14:val="none"/>
        </w:rPr>
        <w:t>dentifying prognostically and therapeutically important genetic abnormalities.</w:t>
      </w:r>
    </w:p>
    <w:p w14:paraId="2702BB7A"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Methods</w:t>
      </w:r>
    </w:p>
    <w:p w14:paraId="2EDF08FE" w14:textId="29BA93A2" w:rsidR="008C3574" w:rsidRPr="008C3574" w:rsidRDefault="008C3574" w:rsidP="008C3574">
      <w:pPr>
        <w:shd w:val="clear" w:color="auto" w:fill="FFFFFF"/>
        <w:spacing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 xml:space="preserve">The samples are usually cultured for </w:t>
      </w:r>
      <w:r w:rsidR="00CC0DCD" w:rsidRPr="008C3574">
        <w:rPr>
          <w:rFonts w:eastAsia="Times New Roman" w:cs="Open Sans"/>
          <w:color w:val="171717"/>
          <w:kern w:val="0"/>
          <w:sz w:val="24"/>
          <w:szCs w:val="24"/>
          <w14:ligatures w14:val="none"/>
        </w:rPr>
        <w:t>24 hours</w:t>
      </w:r>
      <w:r w:rsidRPr="008C3574">
        <w:rPr>
          <w:rFonts w:eastAsia="Times New Roman" w:cs="Open Sans"/>
          <w:color w:val="171717"/>
          <w:kern w:val="0"/>
          <w:sz w:val="24"/>
          <w:szCs w:val="24"/>
          <w14:ligatures w14:val="none"/>
        </w:rPr>
        <w:t xml:space="preserve"> before hybridizing with the probes.  After hybridization and post-hybridization washes, the slides are analyzed under a fluorescence microscope equipped with epifluorescence and appropriate filter sets.  Analysis and scoring </w:t>
      </w:r>
      <w:r w:rsidR="00CC0DCD" w:rsidRPr="008C3574">
        <w:rPr>
          <w:rFonts w:eastAsia="Times New Roman" w:cs="Open Sans"/>
          <w:color w:val="171717"/>
          <w:kern w:val="0"/>
          <w:sz w:val="24"/>
          <w:szCs w:val="24"/>
          <w14:ligatures w14:val="none"/>
        </w:rPr>
        <w:t>are</w:t>
      </w:r>
      <w:r w:rsidRPr="008C3574">
        <w:rPr>
          <w:rFonts w:eastAsia="Times New Roman" w:cs="Open Sans"/>
          <w:color w:val="171717"/>
          <w:kern w:val="0"/>
          <w:sz w:val="24"/>
          <w:szCs w:val="24"/>
          <w14:ligatures w14:val="none"/>
        </w:rPr>
        <w:t xml:space="preserve"> carried out by two certified technologists in a blinded fashion.  Results are reviewed by both the laboratory manager and the director. </w:t>
      </w:r>
    </w:p>
    <w:p w14:paraId="2CD1D3F6"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Interpretation of Results</w:t>
      </w:r>
    </w:p>
    <w:p w14:paraId="08BD4F99" w14:textId="77777777" w:rsidR="008C3574" w:rsidRPr="008C3574" w:rsidRDefault="008C3574" w:rsidP="008C3574">
      <w:pPr>
        <w:shd w:val="clear" w:color="auto" w:fill="FFFFFF"/>
        <w:spacing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included in the report to help the referring physician with interpretation, which include books or journals that contain appropriate information. Recommendations are made as to any additional testing, if necessary.</w:t>
      </w:r>
    </w:p>
    <w:p w14:paraId="120C228A" w14:textId="77777777" w:rsidR="00630883" w:rsidRPr="008C3574" w:rsidRDefault="00630883">
      <w:pPr>
        <w:rPr>
          <w:sz w:val="24"/>
          <w:szCs w:val="24"/>
        </w:rPr>
      </w:pPr>
    </w:p>
    <w:sectPr w:rsidR="00630883" w:rsidRPr="008C3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74"/>
    <w:rsid w:val="00175ECF"/>
    <w:rsid w:val="0058420B"/>
    <w:rsid w:val="0062433C"/>
    <w:rsid w:val="00630883"/>
    <w:rsid w:val="007801C0"/>
    <w:rsid w:val="008503FD"/>
    <w:rsid w:val="008C3574"/>
    <w:rsid w:val="00BE099E"/>
    <w:rsid w:val="00CC0DCD"/>
    <w:rsid w:val="00ED4ADE"/>
    <w:rsid w:val="00EF334C"/>
    <w:rsid w:val="00F330FD"/>
    <w:rsid w:val="00FD5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3ABD"/>
  <w15:chartTrackingRefBased/>
  <w15:docId w15:val="{7AE9D6BE-9537-4363-851C-20F221EF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5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C35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357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C357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C357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C3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57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357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357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357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357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3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574"/>
    <w:rPr>
      <w:rFonts w:eastAsiaTheme="majorEastAsia" w:cstheme="majorBidi"/>
      <w:color w:val="272727" w:themeColor="text1" w:themeTint="D8"/>
    </w:rPr>
  </w:style>
  <w:style w:type="paragraph" w:styleId="Title">
    <w:name w:val="Title"/>
    <w:basedOn w:val="Normal"/>
    <w:next w:val="Normal"/>
    <w:link w:val="TitleChar"/>
    <w:uiPriority w:val="10"/>
    <w:qFormat/>
    <w:rsid w:val="008C3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574"/>
    <w:pPr>
      <w:spacing w:before="160"/>
      <w:jc w:val="center"/>
    </w:pPr>
    <w:rPr>
      <w:i/>
      <w:iCs/>
      <w:color w:val="404040" w:themeColor="text1" w:themeTint="BF"/>
    </w:rPr>
  </w:style>
  <w:style w:type="character" w:customStyle="1" w:styleId="QuoteChar">
    <w:name w:val="Quote Char"/>
    <w:basedOn w:val="DefaultParagraphFont"/>
    <w:link w:val="Quote"/>
    <w:uiPriority w:val="29"/>
    <w:rsid w:val="008C3574"/>
    <w:rPr>
      <w:i/>
      <w:iCs/>
      <w:color w:val="404040" w:themeColor="text1" w:themeTint="BF"/>
    </w:rPr>
  </w:style>
  <w:style w:type="paragraph" w:styleId="ListParagraph">
    <w:name w:val="List Paragraph"/>
    <w:basedOn w:val="Normal"/>
    <w:uiPriority w:val="34"/>
    <w:qFormat/>
    <w:rsid w:val="008C3574"/>
    <w:pPr>
      <w:ind w:left="720"/>
      <w:contextualSpacing/>
    </w:pPr>
  </w:style>
  <w:style w:type="character" w:styleId="IntenseEmphasis">
    <w:name w:val="Intense Emphasis"/>
    <w:basedOn w:val="DefaultParagraphFont"/>
    <w:uiPriority w:val="21"/>
    <w:qFormat/>
    <w:rsid w:val="008C3574"/>
    <w:rPr>
      <w:i/>
      <w:iCs/>
      <w:color w:val="2E74B5" w:themeColor="accent1" w:themeShade="BF"/>
    </w:rPr>
  </w:style>
  <w:style w:type="paragraph" w:styleId="IntenseQuote">
    <w:name w:val="Intense Quote"/>
    <w:basedOn w:val="Normal"/>
    <w:next w:val="Normal"/>
    <w:link w:val="IntenseQuoteChar"/>
    <w:uiPriority w:val="30"/>
    <w:qFormat/>
    <w:rsid w:val="008C35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C3574"/>
    <w:rPr>
      <w:i/>
      <w:iCs/>
      <w:color w:val="2E74B5" w:themeColor="accent1" w:themeShade="BF"/>
    </w:rPr>
  </w:style>
  <w:style w:type="character" w:styleId="IntenseReference">
    <w:name w:val="Intense Reference"/>
    <w:basedOn w:val="DefaultParagraphFont"/>
    <w:uiPriority w:val="32"/>
    <w:qFormat/>
    <w:rsid w:val="008C357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03094">
      <w:bodyDiv w:val="1"/>
      <w:marLeft w:val="0"/>
      <w:marRight w:val="0"/>
      <w:marTop w:val="0"/>
      <w:marBottom w:val="0"/>
      <w:divBdr>
        <w:top w:val="none" w:sz="0" w:space="0" w:color="auto"/>
        <w:left w:val="none" w:sz="0" w:space="0" w:color="auto"/>
        <w:bottom w:val="none" w:sz="0" w:space="0" w:color="auto"/>
        <w:right w:val="none" w:sz="0" w:space="0" w:color="auto"/>
      </w:divBdr>
    </w:div>
    <w:div w:id="702245404">
      <w:bodyDiv w:val="1"/>
      <w:marLeft w:val="0"/>
      <w:marRight w:val="0"/>
      <w:marTop w:val="0"/>
      <w:marBottom w:val="0"/>
      <w:divBdr>
        <w:top w:val="none" w:sz="0" w:space="0" w:color="auto"/>
        <w:left w:val="none" w:sz="0" w:space="0" w:color="auto"/>
        <w:bottom w:val="none" w:sz="0" w:space="0" w:color="auto"/>
        <w:right w:val="none" w:sz="0" w:space="0" w:color="auto"/>
      </w:divBdr>
    </w:div>
    <w:div w:id="1457718904">
      <w:bodyDiv w:val="1"/>
      <w:marLeft w:val="0"/>
      <w:marRight w:val="0"/>
      <w:marTop w:val="0"/>
      <w:marBottom w:val="0"/>
      <w:divBdr>
        <w:top w:val="none" w:sz="0" w:space="0" w:color="auto"/>
        <w:left w:val="none" w:sz="0" w:space="0" w:color="auto"/>
        <w:bottom w:val="none" w:sz="0" w:space="0" w:color="auto"/>
        <w:right w:val="none" w:sz="0" w:space="0" w:color="auto"/>
      </w:divBdr>
    </w:div>
    <w:div w:id="1653173658">
      <w:bodyDiv w:val="1"/>
      <w:marLeft w:val="0"/>
      <w:marRight w:val="0"/>
      <w:marTop w:val="0"/>
      <w:marBottom w:val="0"/>
      <w:divBdr>
        <w:top w:val="none" w:sz="0" w:space="0" w:color="auto"/>
        <w:left w:val="none" w:sz="0" w:space="0" w:color="auto"/>
        <w:bottom w:val="none" w:sz="0" w:space="0" w:color="auto"/>
        <w:right w:val="none" w:sz="0" w:space="0" w:color="auto"/>
      </w:divBdr>
      <w:divsChild>
        <w:div w:id="1175877476">
          <w:marLeft w:val="0"/>
          <w:marRight w:val="0"/>
          <w:marTop w:val="0"/>
          <w:marBottom w:val="0"/>
          <w:divBdr>
            <w:top w:val="none" w:sz="0" w:space="0" w:color="auto"/>
            <w:left w:val="none" w:sz="0" w:space="0" w:color="auto"/>
            <w:bottom w:val="none" w:sz="0" w:space="0" w:color="auto"/>
            <w:right w:val="none" w:sz="0" w:space="0" w:color="auto"/>
          </w:divBdr>
          <w:divsChild>
            <w:div w:id="17045020">
              <w:marLeft w:val="0"/>
              <w:marRight w:val="0"/>
              <w:marTop w:val="0"/>
              <w:marBottom w:val="0"/>
              <w:divBdr>
                <w:top w:val="none" w:sz="0" w:space="0" w:color="auto"/>
                <w:left w:val="none" w:sz="0" w:space="0" w:color="auto"/>
                <w:bottom w:val="none" w:sz="0" w:space="0" w:color="auto"/>
                <w:right w:val="none" w:sz="0" w:space="0" w:color="auto"/>
              </w:divBdr>
              <w:divsChild>
                <w:div w:id="300380618">
                  <w:marLeft w:val="-225"/>
                  <w:marRight w:val="-225"/>
                  <w:marTop w:val="0"/>
                  <w:marBottom w:val="0"/>
                  <w:divBdr>
                    <w:top w:val="none" w:sz="0" w:space="0" w:color="auto"/>
                    <w:left w:val="none" w:sz="0" w:space="0" w:color="auto"/>
                    <w:bottom w:val="none" w:sz="0" w:space="0" w:color="auto"/>
                    <w:right w:val="none" w:sz="0" w:space="0" w:color="auto"/>
                  </w:divBdr>
                  <w:divsChild>
                    <w:div w:id="605044707">
                      <w:marLeft w:val="0"/>
                      <w:marRight w:val="0"/>
                      <w:marTop w:val="0"/>
                      <w:marBottom w:val="0"/>
                      <w:divBdr>
                        <w:top w:val="none" w:sz="0" w:space="0" w:color="auto"/>
                        <w:left w:val="none" w:sz="0" w:space="0" w:color="auto"/>
                        <w:bottom w:val="none" w:sz="0" w:space="0" w:color="auto"/>
                        <w:right w:val="none" w:sz="0" w:space="0" w:color="auto"/>
                      </w:divBdr>
                      <w:divsChild>
                        <w:div w:id="783381032">
                          <w:marLeft w:val="0"/>
                          <w:marRight w:val="0"/>
                          <w:marTop w:val="0"/>
                          <w:marBottom w:val="0"/>
                          <w:divBdr>
                            <w:top w:val="none" w:sz="0" w:space="0" w:color="auto"/>
                            <w:left w:val="none" w:sz="0" w:space="0" w:color="auto"/>
                            <w:bottom w:val="none" w:sz="0" w:space="0" w:color="auto"/>
                            <w:right w:val="none" w:sz="0" w:space="0" w:color="auto"/>
                          </w:divBdr>
                          <w:divsChild>
                            <w:div w:id="650986111">
                              <w:marLeft w:val="0"/>
                              <w:marRight w:val="0"/>
                              <w:marTop w:val="0"/>
                              <w:marBottom w:val="0"/>
                              <w:divBdr>
                                <w:top w:val="none" w:sz="0" w:space="0" w:color="auto"/>
                                <w:left w:val="none" w:sz="0" w:space="0" w:color="auto"/>
                                <w:bottom w:val="none" w:sz="0" w:space="0" w:color="auto"/>
                                <w:right w:val="none" w:sz="0" w:space="0" w:color="auto"/>
                              </w:divBdr>
                              <w:divsChild>
                                <w:div w:id="750615468">
                                  <w:marLeft w:val="0"/>
                                  <w:marRight w:val="0"/>
                                  <w:marTop w:val="0"/>
                                  <w:marBottom w:val="525"/>
                                  <w:divBdr>
                                    <w:top w:val="none" w:sz="0" w:space="0" w:color="auto"/>
                                    <w:left w:val="none" w:sz="0" w:space="0" w:color="auto"/>
                                    <w:bottom w:val="none" w:sz="0" w:space="0" w:color="auto"/>
                                    <w:right w:val="none" w:sz="0" w:space="0" w:color="auto"/>
                                  </w:divBdr>
                                  <w:divsChild>
                                    <w:div w:id="194930873">
                                      <w:marLeft w:val="0"/>
                                      <w:marRight w:val="0"/>
                                      <w:marTop w:val="0"/>
                                      <w:marBottom w:val="0"/>
                                      <w:divBdr>
                                        <w:top w:val="none" w:sz="0" w:space="0" w:color="auto"/>
                                        <w:left w:val="none" w:sz="0" w:space="0" w:color="auto"/>
                                        <w:bottom w:val="none" w:sz="0" w:space="0" w:color="auto"/>
                                        <w:right w:val="none" w:sz="0" w:space="0" w:color="auto"/>
                                      </w:divBdr>
                                      <w:divsChild>
                                        <w:div w:id="496309940">
                                          <w:marLeft w:val="0"/>
                                          <w:marRight w:val="0"/>
                                          <w:marTop w:val="0"/>
                                          <w:marBottom w:val="0"/>
                                          <w:divBdr>
                                            <w:top w:val="none" w:sz="0" w:space="0" w:color="auto"/>
                                            <w:left w:val="none" w:sz="0" w:space="0" w:color="auto"/>
                                            <w:bottom w:val="none" w:sz="0" w:space="0" w:color="auto"/>
                                            <w:right w:val="none" w:sz="0" w:space="0" w:color="auto"/>
                                          </w:divBdr>
                                          <w:divsChild>
                                            <w:div w:id="9215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7</cp:revision>
  <dcterms:created xsi:type="dcterms:W3CDTF">2025-03-06T19:27:00Z</dcterms:created>
  <dcterms:modified xsi:type="dcterms:W3CDTF">2025-08-08T17:20:00Z</dcterms:modified>
</cp:coreProperties>
</file>