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3E2DB450" w:rsidR="00DC6906" w:rsidRDefault="00DC6906" w:rsidP="00DC6906">
      <w:pPr>
        <w:rPr>
          <w:b/>
          <w:bCs/>
          <w:sz w:val="32"/>
          <w:szCs w:val="32"/>
        </w:rPr>
      </w:pPr>
      <w:r w:rsidRPr="00DC6906">
        <w:rPr>
          <w:b/>
          <w:bCs/>
          <w:sz w:val="32"/>
          <w:szCs w:val="32"/>
        </w:rPr>
        <w:t xml:space="preserve">Fluorescence In Situ Hybridization – </w:t>
      </w:r>
      <w:r w:rsidR="003C45CD" w:rsidRPr="003C45CD">
        <w:rPr>
          <w:b/>
          <w:bCs/>
          <w:sz w:val="32"/>
          <w:szCs w:val="32"/>
        </w:rPr>
        <w:t>Myeloid</w:t>
      </w:r>
      <w:r w:rsidRPr="00DC6906">
        <w:rPr>
          <w:b/>
          <w:bCs/>
          <w:sz w:val="32"/>
          <w:szCs w:val="32"/>
        </w:rPr>
        <w:t xml:space="preserve"> Panel</w:t>
      </w:r>
      <w:r w:rsidR="003C45CD" w:rsidRPr="003C45CD">
        <w:rPr>
          <w:b/>
          <w:bCs/>
          <w:sz w:val="32"/>
          <w:szCs w:val="32"/>
        </w:rPr>
        <w:t>s</w:t>
      </w:r>
    </w:p>
    <w:p w14:paraId="15273640" w14:textId="679B9C39" w:rsidR="003C45CD" w:rsidRDefault="003C45CD" w:rsidP="00DC6906">
      <w:pPr>
        <w:rPr>
          <w:b/>
          <w:bCs/>
          <w:sz w:val="28"/>
          <w:szCs w:val="28"/>
        </w:rPr>
      </w:pPr>
      <w:r w:rsidRPr="003C45CD">
        <w:rPr>
          <w:b/>
          <w:bCs/>
          <w:sz w:val="28"/>
          <w:szCs w:val="28"/>
        </w:rPr>
        <w:t>AML Panel</w:t>
      </w:r>
    </w:p>
    <w:p w14:paraId="3E6CC910" w14:textId="77777777" w:rsidR="00C2055D" w:rsidRPr="008C3574" w:rsidRDefault="00C2055D" w:rsidP="00C2055D">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7480" w:type="dxa"/>
        <w:tblLook w:val="04A0" w:firstRow="1" w:lastRow="0" w:firstColumn="1" w:lastColumn="0" w:noHBand="0" w:noVBand="1"/>
      </w:tblPr>
      <w:tblGrid>
        <w:gridCol w:w="2120"/>
        <w:gridCol w:w="2560"/>
        <w:gridCol w:w="2800"/>
      </w:tblGrid>
      <w:tr w:rsidR="003C45CD" w:rsidRPr="003C45CD" w14:paraId="194ABED1" w14:textId="77777777" w:rsidTr="003C45CD">
        <w:trPr>
          <w:trHeight w:val="420"/>
        </w:trPr>
        <w:tc>
          <w:tcPr>
            <w:tcW w:w="2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A103CD" w14:textId="40BE0F07" w:rsidR="003C45CD" w:rsidRPr="003C45CD" w:rsidRDefault="003C45CD" w:rsidP="003C45CD">
            <w:pPr>
              <w:spacing w:after="0" w:line="240" w:lineRule="auto"/>
              <w:rPr>
                <w:rFonts w:ascii="Calibri" w:eastAsia="Times New Roman" w:hAnsi="Calibri" w:cs="Calibri"/>
                <w:b/>
                <w:bCs/>
                <w:color w:val="000000"/>
                <w:kern w:val="0"/>
                <w:sz w:val="32"/>
                <w:szCs w:val="32"/>
                <w14:ligatures w14:val="none"/>
              </w:rPr>
            </w:pPr>
            <w:r w:rsidRPr="003C45CD">
              <w:rPr>
                <w:rFonts w:ascii="Calibri" w:eastAsia="Times New Roman" w:hAnsi="Calibri" w:cs="Calibri"/>
                <w:b/>
                <w:bCs/>
                <w:color w:val="000000"/>
                <w:kern w:val="0"/>
                <w:sz w:val="32"/>
                <w:szCs w:val="32"/>
                <w14:ligatures w14:val="none"/>
              </w:rPr>
              <w:t>AML</w:t>
            </w:r>
            <w:r w:rsidR="00C2055D">
              <w:rPr>
                <w:rFonts w:ascii="Calibri" w:eastAsia="Times New Roman" w:hAnsi="Calibri" w:cs="Calibri"/>
                <w:b/>
                <w:bCs/>
                <w:color w:val="000000"/>
                <w:kern w:val="0"/>
                <w:sz w:val="32"/>
                <w:szCs w:val="32"/>
                <w14:ligatures w14:val="none"/>
              </w:rPr>
              <w:t xml:space="preserve"> Panel</w:t>
            </w:r>
          </w:p>
        </w:tc>
        <w:tc>
          <w:tcPr>
            <w:tcW w:w="2560" w:type="dxa"/>
            <w:tcBorders>
              <w:top w:val="single" w:sz="8" w:space="0" w:color="auto"/>
              <w:left w:val="nil"/>
              <w:bottom w:val="single" w:sz="4" w:space="0" w:color="auto"/>
              <w:right w:val="single" w:sz="4" w:space="0" w:color="auto"/>
            </w:tcBorders>
            <w:shd w:val="clear" w:color="auto" w:fill="auto"/>
            <w:noWrap/>
            <w:vAlign w:val="bottom"/>
            <w:hideMark/>
          </w:tcPr>
          <w:p w14:paraId="461B8DD0" w14:textId="77777777" w:rsidR="003C45CD" w:rsidRPr="003C45CD" w:rsidRDefault="003C45CD" w:rsidP="003C45CD">
            <w:pPr>
              <w:spacing w:after="0" w:line="240" w:lineRule="auto"/>
              <w:rPr>
                <w:rFonts w:ascii="Calibri" w:eastAsia="Times New Roman" w:hAnsi="Calibri" w:cs="Calibri"/>
                <w:color w:val="000000"/>
                <w:kern w:val="0"/>
                <w14:ligatures w14:val="none"/>
              </w:rPr>
            </w:pPr>
            <w:r w:rsidRPr="003C45CD">
              <w:rPr>
                <w:rFonts w:ascii="Calibri" w:eastAsia="Times New Roman" w:hAnsi="Calibri" w:cs="Calibri"/>
                <w:color w:val="000000"/>
                <w:kern w:val="0"/>
                <w14:ligatures w14:val="none"/>
              </w:rPr>
              <w:t> </w:t>
            </w:r>
          </w:p>
        </w:tc>
        <w:tc>
          <w:tcPr>
            <w:tcW w:w="2800" w:type="dxa"/>
            <w:tcBorders>
              <w:top w:val="single" w:sz="8" w:space="0" w:color="auto"/>
              <w:left w:val="nil"/>
              <w:bottom w:val="single" w:sz="4" w:space="0" w:color="auto"/>
              <w:right w:val="single" w:sz="8" w:space="0" w:color="auto"/>
            </w:tcBorders>
            <w:shd w:val="clear" w:color="auto" w:fill="auto"/>
            <w:noWrap/>
            <w:vAlign w:val="bottom"/>
            <w:hideMark/>
          </w:tcPr>
          <w:p w14:paraId="2A1C4333" w14:textId="77777777" w:rsidR="003C45CD" w:rsidRPr="003C45CD" w:rsidRDefault="003C45CD" w:rsidP="003C45CD">
            <w:pPr>
              <w:spacing w:after="0" w:line="240" w:lineRule="auto"/>
              <w:rPr>
                <w:rFonts w:ascii="Calibri" w:eastAsia="Times New Roman" w:hAnsi="Calibri" w:cs="Calibri"/>
                <w:color w:val="000000"/>
                <w:kern w:val="0"/>
                <w14:ligatures w14:val="none"/>
              </w:rPr>
            </w:pPr>
            <w:r w:rsidRPr="003C45CD">
              <w:rPr>
                <w:rFonts w:ascii="Calibri" w:eastAsia="Times New Roman" w:hAnsi="Calibri" w:cs="Calibri"/>
                <w:color w:val="000000"/>
                <w:kern w:val="0"/>
                <w14:ligatures w14:val="none"/>
              </w:rPr>
              <w:t> </w:t>
            </w:r>
          </w:p>
        </w:tc>
      </w:tr>
      <w:tr w:rsidR="003C45CD" w:rsidRPr="003C45CD" w14:paraId="41E8185F" w14:textId="77777777" w:rsidTr="00E06ED5">
        <w:trPr>
          <w:trHeight w:val="315"/>
        </w:trPr>
        <w:tc>
          <w:tcPr>
            <w:tcW w:w="21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63870FBF" w14:textId="77777777" w:rsidR="003C45CD" w:rsidRPr="00020F53" w:rsidRDefault="003C45CD" w:rsidP="003C45CD">
            <w:pPr>
              <w:spacing w:after="0" w:line="240" w:lineRule="auto"/>
              <w:rPr>
                <w:rFonts w:ascii="Calibri" w:eastAsia="Times New Roman" w:hAnsi="Calibri" w:cs="Calibri"/>
                <w:b/>
                <w:bCs/>
                <w:color w:val="000000"/>
                <w:kern w:val="0"/>
                <w:sz w:val="24"/>
                <w:szCs w:val="24"/>
                <w14:ligatures w14:val="none"/>
              </w:rPr>
            </w:pPr>
            <w:r w:rsidRPr="00020F53">
              <w:rPr>
                <w:rFonts w:ascii="Calibri" w:eastAsia="Times New Roman" w:hAnsi="Calibri" w:cs="Calibri"/>
                <w:b/>
                <w:bCs/>
                <w:color w:val="000000"/>
                <w:kern w:val="0"/>
                <w:sz w:val="24"/>
                <w:szCs w:val="24"/>
                <w14:ligatures w14:val="none"/>
              </w:rPr>
              <w:t>Probe Name</w:t>
            </w:r>
          </w:p>
        </w:tc>
        <w:tc>
          <w:tcPr>
            <w:tcW w:w="2560" w:type="dxa"/>
            <w:tcBorders>
              <w:top w:val="nil"/>
              <w:left w:val="nil"/>
              <w:bottom w:val="single" w:sz="4" w:space="0" w:color="auto"/>
              <w:right w:val="single" w:sz="4" w:space="0" w:color="auto"/>
            </w:tcBorders>
            <w:shd w:val="clear" w:color="auto" w:fill="D9D9D9" w:themeFill="background1" w:themeFillShade="D9"/>
            <w:noWrap/>
            <w:vAlign w:val="bottom"/>
            <w:hideMark/>
          </w:tcPr>
          <w:p w14:paraId="4F73F897" w14:textId="77777777" w:rsidR="003C45CD" w:rsidRPr="00020F53" w:rsidRDefault="003C45CD" w:rsidP="003C45CD">
            <w:pPr>
              <w:spacing w:after="0" w:line="240" w:lineRule="auto"/>
              <w:rPr>
                <w:rFonts w:ascii="Calibri" w:eastAsia="Times New Roman" w:hAnsi="Calibri" w:cs="Calibri"/>
                <w:b/>
                <w:bCs/>
                <w:color w:val="000000"/>
                <w:kern w:val="0"/>
                <w:sz w:val="24"/>
                <w:szCs w:val="24"/>
                <w14:ligatures w14:val="none"/>
              </w:rPr>
            </w:pPr>
            <w:r w:rsidRPr="00020F53">
              <w:rPr>
                <w:rFonts w:ascii="Calibri" w:eastAsia="Times New Roman" w:hAnsi="Calibri" w:cs="Calibri"/>
                <w:b/>
                <w:bCs/>
                <w:color w:val="000000"/>
                <w:kern w:val="0"/>
                <w:sz w:val="24"/>
                <w:szCs w:val="24"/>
                <w14:ligatures w14:val="none"/>
              </w:rPr>
              <w:t>Locus/CHR</w:t>
            </w:r>
          </w:p>
        </w:tc>
        <w:tc>
          <w:tcPr>
            <w:tcW w:w="2800" w:type="dxa"/>
            <w:tcBorders>
              <w:top w:val="nil"/>
              <w:left w:val="nil"/>
              <w:bottom w:val="single" w:sz="4" w:space="0" w:color="auto"/>
              <w:right w:val="single" w:sz="8" w:space="0" w:color="auto"/>
            </w:tcBorders>
            <w:shd w:val="clear" w:color="auto" w:fill="D9D9D9" w:themeFill="background1" w:themeFillShade="D9"/>
            <w:noWrap/>
            <w:vAlign w:val="bottom"/>
            <w:hideMark/>
          </w:tcPr>
          <w:p w14:paraId="2F148968" w14:textId="77777777" w:rsidR="003C45CD" w:rsidRPr="00020F53" w:rsidRDefault="003C45CD" w:rsidP="003C45CD">
            <w:pPr>
              <w:spacing w:after="0" w:line="240" w:lineRule="auto"/>
              <w:rPr>
                <w:rFonts w:ascii="Calibri" w:eastAsia="Times New Roman" w:hAnsi="Calibri" w:cs="Calibri"/>
                <w:b/>
                <w:bCs/>
                <w:color w:val="000000"/>
                <w:kern w:val="0"/>
                <w:sz w:val="24"/>
                <w:szCs w:val="24"/>
                <w14:ligatures w14:val="none"/>
              </w:rPr>
            </w:pPr>
            <w:r w:rsidRPr="00020F53">
              <w:rPr>
                <w:rFonts w:ascii="Calibri" w:eastAsia="Times New Roman" w:hAnsi="Calibri" w:cs="Calibri"/>
                <w:b/>
                <w:bCs/>
                <w:color w:val="000000"/>
                <w:kern w:val="0"/>
                <w:sz w:val="24"/>
                <w:szCs w:val="24"/>
                <w14:ligatures w14:val="none"/>
              </w:rPr>
              <w:t>Catalogue #</w:t>
            </w:r>
          </w:p>
        </w:tc>
      </w:tr>
      <w:tr w:rsidR="003C45CD" w:rsidRPr="003C45CD" w14:paraId="64961378" w14:textId="77777777" w:rsidTr="003C45CD">
        <w:trPr>
          <w:trHeight w:val="315"/>
        </w:trPr>
        <w:tc>
          <w:tcPr>
            <w:tcW w:w="2120" w:type="dxa"/>
            <w:tcBorders>
              <w:top w:val="nil"/>
              <w:left w:val="single" w:sz="8" w:space="0" w:color="auto"/>
              <w:bottom w:val="single" w:sz="4" w:space="0" w:color="auto"/>
              <w:right w:val="single" w:sz="4" w:space="0" w:color="auto"/>
            </w:tcBorders>
            <w:shd w:val="clear" w:color="000000" w:fill="FFFFFF"/>
            <w:noWrap/>
            <w:vAlign w:val="bottom"/>
            <w:hideMark/>
          </w:tcPr>
          <w:p w14:paraId="7FFBDA30" w14:textId="77777777" w:rsidR="003C45CD" w:rsidRPr="00E06ED5" w:rsidRDefault="003C45CD" w:rsidP="003C45CD">
            <w:pPr>
              <w:spacing w:after="0" w:line="240" w:lineRule="auto"/>
              <w:rPr>
                <w:rFonts w:ascii="Calibri" w:eastAsia="Times New Roman" w:hAnsi="Calibri" w:cs="Calibri"/>
                <w:b/>
                <w:bCs/>
                <w:color w:val="000000"/>
                <w:kern w:val="0"/>
                <w:sz w:val="24"/>
                <w:szCs w:val="24"/>
                <w14:ligatures w14:val="none"/>
              </w:rPr>
            </w:pPr>
            <w:r w:rsidRPr="00E06ED5">
              <w:rPr>
                <w:rFonts w:ascii="Calibri" w:eastAsia="Times New Roman" w:hAnsi="Calibri" w:cs="Calibri"/>
                <w:b/>
                <w:bCs/>
                <w:color w:val="000000"/>
                <w:kern w:val="0"/>
                <w:sz w:val="24"/>
                <w:szCs w:val="24"/>
                <w14:ligatures w14:val="none"/>
              </w:rPr>
              <w:t>RUNX1T1/RUNX1</w:t>
            </w:r>
          </w:p>
        </w:tc>
        <w:tc>
          <w:tcPr>
            <w:tcW w:w="2560" w:type="dxa"/>
            <w:tcBorders>
              <w:top w:val="nil"/>
              <w:left w:val="nil"/>
              <w:bottom w:val="single" w:sz="4" w:space="0" w:color="auto"/>
              <w:right w:val="single" w:sz="4" w:space="0" w:color="auto"/>
            </w:tcBorders>
            <w:shd w:val="clear" w:color="000000" w:fill="FFFFFF"/>
            <w:noWrap/>
            <w:vAlign w:val="bottom"/>
            <w:hideMark/>
          </w:tcPr>
          <w:p w14:paraId="7BEE4FEE"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8q21.3/21q22.1</w:t>
            </w:r>
          </w:p>
        </w:tc>
        <w:tc>
          <w:tcPr>
            <w:tcW w:w="2800" w:type="dxa"/>
            <w:tcBorders>
              <w:top w:val="nil"/>
              <w:left w:val="nil"/>
              <w:bottom w:val="single" w:sz="4" w:space="0" w:color="auto"/>
              <w:right w:val="single" w:sz="8" w:space="0" w:color="auto"/>
            </w:tcBorders>
            <w:shd w:val="clear" w:color="000000" w:fill="FFFFFF"/>
            <w:noWrap/>
            <w:vAlign w:val="bottom"/>
            <w:hideMark/>
          </w:tcPr>
          <w:p w14:paraId="007D5E44"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Cytocell LPH026</w:t>
            </w:r>
          </w:p>
        </w:tc>
      </w:tr>
      <w:tr w:rsidR="003C45CD" w:rsidRPr="003C45CD" w14:paraId="67AE7B18" w14:textId="77777777" w:rsidTr="003C45CD">
        <w:trPr>
          <w:trHeight w:val="31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6C75C858" w14:textId="77777777" w:rsidR="003C45CD" w:rsidRPr="00E06ED5" w:rsidRDefault="003C45CD" w:rsidP="003C45CD">
            <w:pPr>
              <w:spacing w:after="0" w:line="240" w:lineRule="auto"/>
              <w:rPr>
                <w:rFonts w:ascii="Calibri" w:eastAsia="Times New Roman" w:hAnsi="Calibri" w:cs="Calibri"/>
                <w:b/>
                <w:bCs/>
                <w:color w:val="000000"/>
                <w:kern w:val="0"/>
                <w:sz w:val="24"/>
                <w:szCs w:val="24"/>
                <w14:ligatures w14:val="none"/>
              </w:rPr>
            </w:pPr>
            <w:r w:rsidRPr="00E06ED5">
              <w:rPr>
                <w:rFonts w:ascii="Calibri" w:eastAsia="Times New Roman" w:hAnsi="Calibri" w:cs="Calibri"/>
                <w:b/>
                <w:bCs/>
                <w:color w:val="000000"/>
                <w:kern w:val="0"/>
                <w:sz w:val="24"/>
                <w:szCs w:val="24"/>
                <w14:ligatures w14:val="none"/>
              </w:rPr>
              <w:t>KMT2A</w:t>
            </w:r>
          </w:p>
        </w:tc>
        <w:tc>
          <w:tcPr>
            <w:tcW w:w="2560" w:type="dxa"/>
            <w:tcBorders>
              <w:top w:val="nil"/>
              <w:left w:val="nil"/>
              <w:bottom w:val="single" w:sz="4" w:space="0" w:color="auto"/>
              <w:right w:val="single" w:sz="4" w:space="0" w:color="auto"/>
            </w:tcBorders>
            <w:shd w:val="clear" w:color="auto" w:fill="auto"/>
            <w:noWrap/>
            <w:vAlign w:val="bottom"/>
            <w:hideMark/>
          </w:tcPr>
          <w:p w14:paraId="7D93D6E5"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11q23.3</w:t>
            </w:r>
          </w:p>
        </w:tc>
        <w:tc>
          <w:tcPr>
            <w:tcW w:w="2800" w:type="dxa"/>
            <w:tcBorders>
              <w:top w:val="nil"/>
              <w:left w:val="nil"/>
              <w:bottom w:val="single" w:sz="4" w:space="0" w:color="auto"/>
              <w:right w:val="single" w:sz="8" w:space="0" w:color="auto"/>
            </w:tcBorders>
            <w:shd w:val="clear" w:color="auto" w:fill="auto"/>
            <w:noWrap/>
            <w:vAlign w:val="bottom"/>
            <w:hideMark/>
          </w:tcPr>
          <w:p w14:paraId="2BA80402"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Cytocell LPH013</w:t>
            </w:r>
          </w:p>
        </w:tc>
      </w:tr>
      <w:tr w:rsidR="003C45CD" w:rsidRPr="003C45CD" w14:paraId="58CF7F19" w14:textId="77777777" w:rsidTr="003C45CD">
        <w:trPr>
          <w:trHeight w:val="31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2BB534AB" w14:textId="77777777" w:rsidR="003C45CD" w:rsidRPr="00E06ED5" w:rsidRDefault="003C45CD" w:rsidP="003C45CD">
            <w:pPr>
              <w:spacing w:after="0" w:line="240" w:lineRule="auto"/>
              <w:rPr>
                <w:rFonts w:ascii="Calibri" w:eastAsia="Times New Roman" w:hAnsi="Calibri" w:cs="Calibri"/>
                <w:b/>
                <w:bCs/>
                <w:color w:val="000000"/>
                <w:kern w:val="0"/>
                <w:sz w:val="24"/>
                <w:szCs w:val="24"/>
                <w14:ligatures w14:val="none"/>
              </w:rPr>
            </w:pPr>
            <w:r w:rsidRPr="00E06ED5">
              <w:rPr>
                <w:rFonts w:ascii="Calibri" w:eastAsia="Times New Roman" w:hAnsi="Calibri" w:cs="Calibri"/>
                <w:b/>
                <w:bCs/>
                <w:color w:val="000000"/>
                <w:kern w:val="0"/>
                <w:sz w:val="24"/>
                <w:szCs w:val="24"/>
                <w14:ligatures w14:val="none"/>
              </w:rPr>
              <w:t>PML/RARA</w:t>
            </w:r>
          </w:p>
        </w:tc>
        <w:tc>
          <w:tcPr>
            <w:tcW w:w="2560" w:type="dxa"/>
            <w:tcBorders>
              <w:top w:val="nil"/>
              <w:left w:val="nil"/>
              <w:bottom w:val="single" w:sz="4" w:space="0" w:color="auto"/>
              <w:right w:val="single" w:sz="4" w:space="0" w:color="auto"/>
            </w:tcBorders>
            <w:shd w:val="clear" w:color="auto" w:fill="auto"/>
            <w:noWrap/>
            <w:vAlign w:val="bottom"/>
            <w:hideMark/>
          </w:tcPr>
          <w:p w14:paraId="61B23BA4"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15q24.1/17q21.1-q21.2</w:t>
            </w:r>
          </w:p>
        </w:tc>
        <w:tc>
          <w:tcPr>
            <w:tcW w:w="2800" w:type="dxa"/>
            <w:tcBorders>
              <w:top w:val="nil"/>
              <w:left w:val="nil"/>
              <w:bottom w:val="single" w:sz="4" w:space="0" w:color="auto"/>
              <w:right w:val="single" w:sz="8" w:space="0" w:color="auto"/>
            </w:tcBorders>
            <w:shd w:val="clear" w:color="auto" w:fill="auto"/>
            <w:noWrap/>
            <w:vAlign w:val="bottom"/>
            <w:hideMark/>
          </w:tcPr>
          <w:p w14:paraId="0DA6F346"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Cytocell LPH023</w:t>
            </w:r>
          </w:p>
        </w:tc>
      </w:tr>
      <w:tr w:rsidR="003C45CD" w:rsidRPr="003C45CD" w14:paraId="48444E87" w14:textId="77777777" w:rsidTr="003C45CD">
        <w:trPr>
          <w:trHeight w:val="330"/>
        </w:trPr>
        <w:tc>
          <w:tcPr>
            <w:tcW w:w="2120" w:type="dxa"/>
            <w:tcBorders>
              <w:top w:val="nil"/>
              <w:left w:val="single" w:sz="8" w:space="0" w:color="auto"/>
              <w:bottom w:val="single" w:sz="8" w:space="0" w:color="auto"/>
              <w:right w:val="single" w:sz="4" w:space="0" w:color="auto"/>
            </w:tcBorders>
            <w:shd w:val="clear" w:color="auto" w:fill="auto"/>
            <w:noWrap/>
            <w:vAlign w:val="bottom"/>
            <w:hideMark/>
          </w:tcPr>
          <w:p w14:paraId="2B4BC48A" w14:textId="77777777" w:rsidR="003C45CD" w:rsidRPr="00E06ED5" w:rsidRDefault="003C45CD" w:rsidP="003C45CD">
            <w:pPr>
              <w:spacing w:after="0" w:line="240" w:lineRule="auto"/>
              <w:rPr>
                <w:rFonts w:ascii="Calibri" w:eastAsia="Times New Roman" w:hAnsi="Calibri" w:cs="Calibri"/>
                <w:b/>
                <w:bCs/>
                <w:color w:val="000000"/>
                <w:kern w:val="0"/>
                <w:sz w:val="24"/>
                <w:szCs w:val="24"/>
                <w14:ligatures w14:val="none"/>
              </w:rPr>
            </w:pPr>
            <w:r w:rsidRPr="00E06ED5">
              <w:rPr>
                <w:rFonts w:ascii="Calibri" w:eastAsia="Times New Roman" w:hAnsi="Calibri" w:cs="Calibri"/>
                <w:b/>
                <w:bCs/>
                <w:color w:val="000000"/>
                <w:kern w:val="0"/>
                <w:sz w:val="24"/>
                <w:szCs w:val="24"/>
                <w14:ligatures w14:val="none"/>
              </w:rPr>
              <w:t>MYH11/CBFB</w:t>
            </w:r>
          </w:p>
        </w:tc>
        <w:tc>
          <w:tcPr>
            <w:tcW w:w="2560" w:type="dxa"/>
            <w:tcBorders>
              <w:top w:val="nil"/>
              <w:left w:val="nil"/>
              <w:bottom w:val="single" w:sz="8" w:space="0" w:color="auto"/>
              <w:right w:val="single" w:sz="4" w:space="0" w:color="auto"/>
            </w:tcBorders>
            <w:shd w:val="clear" w:color="auto" w:fill="auto"/>
            <w:noWrap/>
            <w:vAlign w:val="bottom"/>
            <w:hideMark/>
          </w:tcPr>
          <w:p w14:paraId="14BFAF89"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16p13.1/16q22</w:t>
            </w:r>
          </w:p>
        </w:tc>
        <w:tc>
          <w:tcPr>
            <w:tcW w:w="2800" w:type="dxa"/>
            <w:tcBorders>
              <w:top w:val="nil"/>
              <w:left w:val="nil"/>
              <w:bottom w:val="single" w:sz="8" w:space="0" w:color="auto"/>
              <w:right w:val="single" w:sz="8" w:space="0" w:color="auto"/>
            </w:tcBorders>
            <w:shd w:val="clear" w:color="auto" w:fill="auto"/>
            <w:noWrap/>
            <w:vAlign w:val="bottom"/>
            <w:hideMark/>
          </w:tcPr>
          <w:p w14:paraId="18BDE69A" w14:textId="77777777" w:rsidR="003C45CD" w:rsidRPr="003C45CD" w:rsidRDefault="003C45CD" w:rsidP="003C45CD">
            <w:pPr>
              <w:spacing w:after="0" w:line="240" w:lineRule="auto"/>
              <w:rPr>
                <w:rFonts w:ascii="Calibri" w:eastAsia="Times New Roman" w:hAnsi="Calibri" w:cs="Calibri"/>
                <w:color w:val="000000"/>
                <w:kern w:val="0"/>
                <w:sz w:val="24"/>
                <w:szCs w:val="24"/>
                <w14:ligatures w14:val="none"/>
              </w:rPr>
            </w:pPr>
            <w:r w:rsidRPr="003C45CD">
              <w:rPr>
                <w:rFonts w:ascii="Calibri" w:eastAsia="Times New Roman" w:hAnsi="Calibri" w:cs="Calibri"/>
                <w:color w:val="000000"/>
                <w:kern w:val="0"/>
                <w:sz w:val="24"/>
                <w:szCs w:val="24"/>
                <w14:ligatures w14:val="none"/>
              </w:rPr>
              <w:t>Cytocell LPH022</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1A0F435B" w:rsidR="00DC6906" w:rsidRDefault="00DC6906" w:rsidP="003C45CD">
      <w:pPr>
        <w:spacing w:after="0" w:line="240" w:lineRule="auto"/>
        <w:rPr>
          <w:sz w:val="24"/>
          <w:szCs w:val="24"/>
        </w:rPr>
      </w:pPr>
      <w:r w:rsidRPr="00DC6906">
        <w:rPr>
          <w:sz w:val="24"/>
          <w:szCs w:val="24"/>
        </w:rPr>
        <w:t>88271</w:t>
      </w:r>
      <w:r w:rsidR="003C45CD">
        <w:rPr>
          <w:sz w:val="24"/>
          <w:szCs w:val="24"/>
        </w:rPr>
        <w:t>x4</w:t>
      </w:r>
      <w:r w:rsidRPr="00DC6906">
        <w:rPr>
          <w:sz w:val="24"/>
          <w:szCs w:val="24"/>
        </w:rPr>
        <w:t>, 88275</w:t>
      </w:r>
      <w:r w:rsidR="003C45CD">
        <w:rPr>
          <w:sz w:val="24"/>
          <w:szCs w:val="24"/>
        </w:rPr>
        <w:t>x4</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2AF38CF3" w14:textId="77777777" w:rsidR="00CC1005" w:rsidRPr="009A6D14" w:rsidRDefault="00CC1005" w:rsidP="00CC1005">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5C731F97" w14:textId="6574B3FC" w:rsidR="00CC1005" w:rsidRPr="009A6D14" w:rsidRDefault="00CC1005" w:rsidP="00CC1005">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 xml:space="preserve">Fluorescence in situ hybridization (FISH) is a sensitive method to detect smaller genomic changes associated with various hematological malignancies and solid tumors.  There are several advantages with FISH technology over routine chromosome analysis and such </w:t>
      </w:r>
      <w:r w:rsidRPr="00DC6906">
        <w:rPr>
          <w:sz w:val="24"/>
          <w:szCs w:val="24"/>
        </w:rPr>
        <w:lastRenderedPageBreak/>
        <w:t>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50963A86" w14:textId="77777777" w:rsidR="00DC6906" w:rsidRPr="00DC6906" w:rsidRDefault="00DC6906" w:rsidP="00DC6906">
      <w:pPr>
        <w:rPr>
          <w:sz w:val="24"/>
          <w:szCs w:val="24"/>
        </w:rPr>
      </w:pPr>
      <w:r w:rsidRPr="00DC6906">
        <w:rPr>
          <w:sz w:val="24"/>
          <w:szCs w:val="24"/>
        </w:rPr>
        <w:t>Acute Myelogenous Leukemia/Myelodysplastic syndrome is a group of heterogeneous hematologic conditions with characteristic chromosome abnormalities leading to specific gene rearrangements.  About half of the patients with AML/MDS may show chromosome abnormalities which can be classified as primary and secondary or treatment related abnormalities.  The chromosome abnormalities are known to correlate with prognosis and response to treatment.  Although majority of such abnormalities can be detected on routine chromosome analysis, interphase FISH analysis due to its high sensitivity can detect low-level clones thus identifying prognostically and therapeutically important genetic abnormalities.</w:t>
      </w:r>
    </w:p>
    <w:p w14:paraId="2E4FF608" w14:textId="77777777" w:rsidR="00DC6906" w:rsidRPr="00DC6906" w:rsidRDefault="00DC6906" w:rsidP="003C45CD">
      <w:pPr>
        <w:spacing w:after="0" w:line="240" w:lineRule="auto"/>
        <w:rPr>
          <w:sz w:val="24"/>
          <w:szCs w:val="24"/>
        </w:rPr>
      </w:pPr>
      <w:r w:rsidRPr="00DC6906">
        <w:rPr>
          <w:b/>
          <w:bCs/>
          <w:sz w:val="24"/>
          <w:szCs w:val="24"/>
        </w:rPr>
        <w:t>Methods</w:t>
      </w:r>
    </w:p>
    <w:p w14:paraId="4C9E5218" w14:textId="3C2C9F89" w:rsidR="00DC6906" w:rsidRPr="00DC6906" w:rsidRDefault="00DC6906" w:rsidP="00DC6906">
      <w:pPr>
        <w:rPr>
          <w:sz w:val="24"/>
          <w:szCs w:val="24"/>
        </w:rPr>
      </w:pPr>
      <w:r w:rsidRPr="00DC6906">
        <w:rPr>
          <w:sz w:val="24"/>
          <w:szCs w:val="24"/>
        </w:rPr>
        <w:t xml:space="preserve">The samples are usually cultured for </w:t>
      </w:r>
      <w:r w:rsidR="006B1203" w:rsidRPr="00DC6906">
        <w:rPr>
          <w:sz w:val="24"/>
          <w:szCs w:val="24"/>
        </w:rPr>
        <w:t>24 hours</w:t>
      </w:r>
      <w:r w:rsidRPr="00DC6906">
        <w:rPr>
          <w:sz w:val="24"/>
          <w:szCs w:val="24"/>
        </w:rPr>
        <w:t xml:space="preserve"> before hybridizing with the probes.  After hybridization and post-hybridization washes, the slides are analyzed under a fluorescence microscope equipped with epifluorescence and appropriate filter sets.  Analysis and scoring </w:t>
      </w:r>
      <w:r w:rsidR="00743A8F" w:rsidRPr="00DC6906">
        <w:rPr>
          <w:sz w:val="24"/>
          <w:szCs w:val="24"/>
        </w:rPr>
        <w:t>are</w:t>
      </w:r>
      <w:r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020F53"/>
    <w:rsid w:val="00175ECF"/>
    <w:rsid w:val="00351762"/>
    <w:rsid w:val="003C45CD"/>
    <w:rsid w:val="00630883"/>
    <w:rsid w:val="006B1203"/>
    <w:rsid w:val="00743A8F"/>
    <w:rsid w:val="007801C0"/>
    <w:rsid w:val="00C2055D"/>
    <w:rsid w:val="00CC1005"/>
    <w:rsid w:val="00DC6906"/>
    <w:rsid w:val="00E06ED5"/>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7</cp:revision>
  <dcterms:created xsi:type="dcterms:W3CDTF">2025-03-10T16:06:00Z</dcterms:created>
  <dcterms:modified xsi:type="dcterms:W3CDTF">2025-08-08T16:48:00Z</dcterms:modified>
</cp:coreProperties>
</file>