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05327E41" w:rsidR="00DC6906" w:rsidRDefault="00DC6906" w:rsidP="00DC6906">
      <w:pPr>
        <w:rPr>
          <w:b/>
          <w:bCs/>
          <w:sz w:val="32"/>
          <w:szCs w:val="32"/>
        </w:rPr>
      </w:pPr>
      <w:r w:rsidRPr="00DC6906">
        <w:rPr>
          <w:b/>
          <w:bCs/>
          <w:sz w:val="32"/>
          <w:szCs w:val="32"/>
        </w:rPr>
        <w:t xml:space="preserve">Fluorescence In Situ Hybridization – </w:t>
      </w:r>
      <w:r w:rsidR="00373EF8">
        <w:rPr>
          <w:b/>
          <w:bCs/>
          <w:sz w:val="32"/>
          <w:szCs w:val="32"/>
        </w:rPr>
        <w:t>CLL</w:t>
      </w:r>
      <w:r w:rsidRPr="00DC6906">
        <w:rPr>
          <w:b/>
          <w:bCs/>
          <w:sz w:val="32"/>
          <w:szCs w:val="32"/>
        </w:rPr>
        <w:t xml:space="preserve"> Panel</w:t>
      </w:r>
      <w:r w:rsidR="003C45CD" w:rsidRPr="003C45CD">
        <w:rPr>
          <w:b/>
          <w:bCs/>
          <w:sz w:val="32"/>
          <w:szCs w:val="32"/>
        </w:rPr>
        <w:t>s</w:t>
      </w:r>
    </w:p>
    <w:p w14:paraId="15273640" w14:textId="5955DF49" w:rsidR="003C45CD" w:rsidRDefault="00373EF8" w:rsidP="00DC6906">
      <w:pPr>
        <w:rPr>
          <w:b/>
          <w:bCs/>
          <w:sz w:val="28"/>
          <w:szCs w:val="28"/>
        </w:rPr>
      </w:pPr>
      <w:r>
        <w:rPr>
          <w:b/>
          <w:bCs/>
          <w:sz w:val="28"/>
          <w:szCs w:val="28"/>
        </w:rPr>
        <w:t>CLL</w:t>
      </w:r>
      <w:r w:rsidR="003C45CD" w:rsidRPr="003C45CD">
        <w:rPr>
          <w:b/>
          <w:bCs/>
          <w:sz w:val="28"/>
          <w:szCs w:val="28"/>
        </w:rPr>
        <w:t xml:space="preserve"> </w:t>
      </w:r>
      <w:r w:rsidR="00AF69EB">
        <w:rPr>
          <w:b/>
          <w:bCs/>
          <w:sz w:val="28"/>
          <w:szCs w:val="28"/>
        </w:rPr>
        <w:t>IGH Reflex</w:t>
      </w:r>
      <w:r w:rsidR="00BD7112">
        <w:rPr>
          <w:b/>
          <w:bCs/>
          <w:sz w:val="28"/>
          <w:szCs w:val="28"/>
        </w:rPr>
        <w:t xml:space="preserve"> </w:t>
      </w:r>
      <w:r w:rsidR="003C45CD" w:rsidRPr="003C45CD">
        <w:rPr>
          <w:b/>
          <w:bCs/>
          <w:sz w:val="28"/>
          <w:szCs w:val="28"/>
        </w:rPr>
        <w:t>Panel</w:t>
      </w:r>
    </w:p>
    <w:p w14:paraId="622BD0C2" w14:textId="639D6DC9" w:rsidR="00BD7112" w:rsidRPr="00282808" w:rsidRDefault="003F004F" w:rsidP="00BD7112">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a reflex panel that is ordered only when the basic CLL panel shows an IGH gene rearrangement</w:t>
      </w:r>
      <w:r w:rsidR="00BD7112">
        <w:rPr>
          <w:rFonts w:eastAsia="Times New Roman" w:cs="Times New Roman"/>
          <w:color w:val="171717"/>
          <w:kern w:val="0"/>
          <w:sz w:val="28"/>
          <w:szCs w:val="28"/>
          <w14:ligatures w14:val="none"/>
        </w:rPr>
        <w:t>.</w:t>
      </w:r>
      <w:r>
        <w:rPr>
          <w:rFonts w:eastAsia="Times New Roman" w:cs="Times New Roman"/>
          <w:color w:val="171717"/>
          <w:kern w:val="0"/>
          <w:sz w:val="28"/>
          <w:szCs w:val="28"/>
          <w14:ligatures w14:val="none"/>
        </w:rPr>
        <w:t xml:space="preserve">  In such cases, it is helpful to identify the IGH gene translocation partner for interpreting the results and this IGH reflex panel will help determine the partner gene.</w:t>
      </w:r>
    </w:p>
    <w:p w14:paraId="391B2A20" w14:textId="0B588F86" w:rsidR="00BD7112" w:rsidRPr="00BD7112" w:rsidRDefault="00BD7112" w:rsidP="00DC6906">
      <w:pPr>
        <w:rPr>
          <w:b/>
          <w:bCs/>
          <w:sz w:val="24"/>
          <w:szCs w:val="24"/>
        </w:rPr>
      </w:pPr>
      <w:r w:rsidRPr="00BD7112">
        <w:rPr>
          <w:b/>
          <w:bCs/>
          <w:sz w:val="24"/>
          <w:szCs w:val="24"/>
        </w:rPr>
        <w:t>Probe List</w:t>
      </w:r>
    </w:p>
    <w:tbl>
      <w:tblPr>
        <w:tblStyle w:val="TableGrid"/>
        <w:tblW w:w="0" w:type="auto"/>
        <w:tblLook w:val="04A0" w:firstRow="1" w:lastRow="0" w:firstColumn="1" w:lastColumn="0" w:noHBand="0" w:noVBand="1"/>
      </w:tblPr>
      <w:tblGrid>
        <w:gridCol w:w="2965"/>
        <w:gridCol w:w="3060"/>
        <w:gridCol w:w="2700"/>
      </w:tblGrid>
      <w:tr w:rsidR="003F004F" w:rsidRPr="00BD7112" w14:paraId="17502C60" w14:textId="77777777" w:rsidTr="003F004F">
        <w:trPr>
          <w:trHeight w:val="420"/>
        </w:trPr>
        <w:tc>
          <w:tcPr>
            <w:tcW w:w="2965" w:type="dxa"/>
            <w:noWrap/>
            <w:hideMark/>
          </w:tcPr>
          <w:p w14:paraId="2A3B267C" w14:textId="18E38345" w:rsidR="003F004F" w:rsidRPr="003F004F" w:rsidRDefault="003F004F" w:rsidP="003F004F">
            <w:pPr>
              <w:rPr>
                <w:rFonts w:ascii="Calibri" w:hAnsi="Calibri" w:cs="Calibri"/>
                <w:b/>
                <w:bCs/>
                <w:sz w:val="32"/>
                <w:szCs w:val="32"/>
              </w:rPr>
            </w:pPr>
            <w:r w:rsidRPr="003F004F">
              <w:rPr>
                <w:rFonts w:ascii="Calibri" w:hAnsi="Calibri" w:cs="Calibri"/>
                <w:b/>
                <w:bCs/>
                <w:sz w:val="32"/>
                <w:szCs w:val="32"/>
              </w:rPr>
              <w:t>CLL IGH Reflex</w:t>
            </w:r>
            <w:r>
              <w:rPr>
                <w:rFonts w:ascii="Calibri" w:hAnsi="Calibri" w:cs="Calibri"/>
                <w:b/>
                <w:bCs/>
                <w:sz w:val="32"/>
                <w:szCs w:val="32"/>
              </w:rPr>
              <w:t xml:space="preserve"> Panel</w:t>
            </w:r>
          </w:p>
        </w:tc>
        <w:tc>
          <w:tcPr>
            <w:tcW w:w="3060" w:type="dxa"/>
            <w:noWrap/>
            <w:hideMark/>
          </w:tcPr>
          <w:p w14:paraId="3A4022A9" w14:textId="67AC58DA" w:rsidR="003F004F" w:rsidRPr="00BD7112" w:rsidRDefault="003F004F" w:rsidP="003F004F">
            <w:pPr>
              <w:rPr>
                <w:b/>
                <w:bCs/>
                <w:sz w:val="28"/>
                <w:szCs w:val="28"/>
              </w:rPr>
            </w:pPr>
          </w:p>
        </w:tc>
        <w:tc>
          <w:tcPr>
            <w:tcW w:w="2700" w:type="dxa"/>
            <w:noWrap/>
            <w:hideMark/>
          </w:tcPr>
          <w:p w14:paraId="497E8F67" w14:textId="59D99C6E" w:rsidR="003F004F" w:rsidRPr="00BD7112" w:rsidRDefault="003F004F" w:rsidP="003F004F">
            <w:pPr>
              <w:rPr>
                <w:b/>
                <w:bCs/>
                <w:sz w:val="28"/>
                <w:szCs w:val="28"/>
              </w:rPr>
            </w:pPr>
          </w:p>
        </w:tc>
      </w:tr>
      <w:tr w:rsidR="003F004F" w:rsidRPr="00BD7112" w14:paraId="4D249439" w14:textId="77777777" w:rsidTr="003F004F">
        <w:trPr>
          <w:trHeight w:val="315"/>
        </w:trPr>
        <w:tc>
          <w:tcPr>
            <w:tcW w:w="2965" w:type="dxa"/>
            <w:shd w:val="clear" w:color="auto" w:fill="D9D9D9" w:themeFill="background1" w:themeFillShade="D9"/>
            <w:noWrap/>
            <w:hideMark/>
          </w:tcPr>
          <w:p w14:paraId="79C31D10" w14:textId="66DDAE20"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Probe Name</w:t>
            </w:r>
          </w:p>
        </w:tc>
        <w:tc>
          <w:tcPr>
            <w:tcW w:w="3060" w:type="dxa"/>
            <w:shd w:val="clear" w:color="auto" w:fill="D9D9D9" w:themeFill="background1" w:themeFillShade="D9"/>
            <w:noWrap/>
            <w:hideMark/>
          </w:tcPr>
          <w:p w14:paraId="4D3EE5E0" w14:textId="531281A7"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Locus/CHR</w:t>
            </w:r>
          </w:p>
        </w:tc>
        <w:tc>
          <w:tcPr>
            <w:tcW w:w="2700" w:type="dxa"/>
            <w:shd w:val="clear" w:color="auto" w:fill="D9D9D9" w:themeFill="background1" w:themeFillShade="D9"/>
            <w:noWrap/>
            <w:hideMark/>
          </w:tcPr>
          <w:p w14:paraId="01058DFB" w14:textId="3C4B0ED8"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Catalogue #</w:t>
            </w:r>
          </w:p>
        </w:tc>
      </w:tr>
      <w:tr w:rsidR="003F004F" w:rsidRPr="00BD7112" w14:paraId="3ED798F9" w14:textId="77777777" w:rsidTr="003F004F">
        <w:trPr>
          <w:trHeight w:val="315"/>
        </w:trPr>
        <w:tc>
          <w:tcPr>
            <w:tcW w:w="2965" w:type="dxa"/>
            <w:noWrap/>
            <w:hideMark/>
          </w:tcPr>
          <w:p w14:paraId="0F5737D6" w14:textId="607F1C5F"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CCND1/IGH</w:t>
            </w:r>
          </w:p>
        </w:tc>
        <w:tc>
          <w:tcPr>
            <w:tcW w:w="3060" w:type="dxa"/>
            <w:noWrap/>
            <w:hideMark/>
          </w:tcPr>
          <w:p w14:paraId="2005C59D" w14:textId="7DE9CC19" w:rsidR="003F004F" w:rsidRPr="003F004F" w:rsidRDefault="003F004F" w:rsidP="003F004F">
            <w:pPr>
              <w:rPr>
                <w:rFonts w:ascii="Calibri" w:hAnsi="Calibri" w:cs="Calibri"/>
                <w:sz w:val="24"/>
                <w:szCs w:val="24"/>
              </w:rPr>
            </w:pPr>
            <w:r w:rsidRPr="003F004F">
              <w:rPr>
                <w:rFonts w:ascii="Calibri" w:hAnsi="Calibri" w:cs="Calibri"/>
                <w:sz w:val="24"/>
                <w:szCs w:val="24"/>
              </w:rPr>
              <w:t>11q13.3/14q32.33</w:t>
            </w:r>
          </w:p>
        </w:tc>
        <w:tc>
          <w:tcPr>
            <w:tcW w:w="2700" w:type="dxa"/>
            <w:noWrap/>
            <w:hideMark/>
          </w:tcPr>
          <w:p w14:paraId="187AECB5" w14:textId="184CD5ED" w:rsidR="003F004F" w:rsidRPr="003F004F" w:rsidRDefault="003F004F" w:rsidP="003F004F">
            <w:pPr>
              <w:rPr>
                <w:rFonts w:ascii="Calibri" w:hAnsi="Calibri" w:cs="Calibri"/>
                <w:sz w:val="24"/>
                <w:szCs w:val="24"/>
              </w:rPr>
            </w:pPr>
            <w:r w:rsidRPr="003F004F">
              <w:rPr>
                <w:rFonts w:ascii="Calibri" w:hAnsi="Calibri" w:cs="Calibri"/>
                <w:sz w:val="24"/>
                <w:szCs w:val="24"/>
              </w:rPr>
              <w:t>Cytocell LPH021</w:t>
            </w:r>
          </w:p>
        </w:tc>
      </w:tr>
      <w:tr w:rsidR="003F004F" w:rsidRPr="00BD7112" w14:paraId="138138B5" w14:textId="77777777" w:rsidTr="003F004F">
        <w:trPr>
          <w:trHeight w:val="315"/>
        </w:trPr>
        <w:tc>
          <w:tcPr>
            <w:tcW w:w="2965" w:type="dxa"/>
            <w:noWrap/>
            <w:hideMark/>
          </w:tcPr>
          <w:p w14:paraId="70144B4A" w14:textId="5C9BAE9E"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IGH/BCL2</w:t>
            </w:r>
          </w:p>
        </w:tc>
        <w:tc>
          <w:tcPr>
            <w:tcW w:w="3060" w:type="dxa"/>
            <w:noWrap/>
            <w:hideMark/>
          </w:tcPr>
          <w:p w14:paraId="559956FC" w14:textId="5AC90253" w:rsidR="003F004F" w:rsidRPr="003F004F" w:rsidRDefault="003F004F" w:rsidP="003F004F">
            <w:pPr>
              <w:rPr>
                <w:rFonts w:ascii="Calibri" w:hAnsi="Calibri" w:cs="Calibri"/>
                <w:sz w:val="24"/>
                <w:szCs w:val="24"/>
              </w:rPr>
            </w:pPr>
            <w:r w:rsidRPr="003F004F">
              <w:rPr>
                <w:rFonts w:ascii="Calibri" w:hAnsi="Calibri" w:cs="Calibri"/>
                <w:sz w:val="24"/>
                <w:szCs w:val="24"/>
              </w:rPr>
              <w:t>14q32.33/18q21.33</w:t>
            </w:r>
          </w:p>
        </w:tc>
        <w:tc>
          <w:tcPr>
            <w:tcW w:w="2700" w:type="dxa"/>
            <w:noWrap/>
            <w:hideMark/>
          </w:tcPr>
          <w:p w14:paraId="76AADA2F" w14:textId="5FE12051" w:rsidR="003F004F" w:rsidRPr="003F004F" w:rsidRDefault="003F004F" w:rsidP="003F004F">
            <w:pPr>
              <w:rPr>
                <w:rFonts w:ascii="Calibri" w:hAnsi="Calibri" w:cs="Calibri"/>
                <w:sz w:val="24"/>
                <w:szCs w:val="24"/>
              </w:rPr>
            </w:pPr>
            <w:r w:rsidRPr="003F004F">
              <w:rPr>
                <w:rFonts w:ascii="Calibri" w:hAnsi="Calibri" w:cs="Calibri"/>
                <w:sz w:val="24"/>
                <w:szCs w:val="24"/>
              </w:rPr>
              <w:t>Cytocell LPH018</w:t>
            </w:r>
          </w:p>
        </w:tc>
      </w:tr>
      <w:tr w:rsidR="007528DA" w:rsidRPr="00BD7112" w14:paraId="470C874F" w14:textId="77777777" w:rsidTr="003F004F">
        <w:trPr>
          <w:trHeight w:val="315"/>
        </w:trPr>
        <w:tc>
          <w:tcPr>
            <w:tcW w:w="2965" w:type="dxa"/>
            <w:noWrap/>
          </w:tcPr>
          <w:p w14:paraId="71C73303" w14:textId="001E29EA" w:rsidR="007528DA" w:rsidRPr="003F004F" w:rsidRDefault="007528DA" w:rsidP="003F004F">
            <w:pPr>
              <w:rPr>
                <w:rFonts w:ascii="Calibri" w:hAnsi="Calibri" w:cs="Calibri"/>
                <w:b/>
                <w:bCs/>
                <w:sz w:val="24"/>
                <w:szCs w:val="24"/>
              </w:rPr>
            </w:pPr>
            <w:r>
              <w:rPr>
                <w:rFonts w:ascii="Calibri" w:hAnsi="Calibri" w:cs="Calibri"/>
                <w:b/>
                <w:bCs/>
                <w:sz w:val="24"/>
                <w:szCs w:val="24"/>
              </w:rPr>
              <w:t>IGH/BCL3</w:t>
            </w:r>
          </w:p>
        </w:tc>
        <w:tc>
          <w:tcPr>
            <w:tcW w:w="3060" w:type="dxa"/>
            <w:noWrap/>
          </w:tcPr>
          <w:p w14:paraId="01FCFB7F" w14:textId="09E2CFA4" w:rsidR="007528DA" w:rsidRPr="003F004F" w:rsidRDefault="007528DA" w:rsidP="003F004F">
            <w:pPr>
              <w:rPr>
                <w:rFonts w:ascii="Calibri" w:hAnsi="Calibri" w:cs="Calibri"/>
                <w:sz w:val="24"/>
                <w:szCs w:val="24"/>
              </w:rPr>
            </w:pPr>
            <w:r>
              <w:rPr>
                <w:rFonts w:ascii="Calibri" w:hAnsi="Calibri" w:cs="Calibri"/>
                <w:sz w:val="24"/>
                <w:szCs w:val="24"/>
              </w:rPr>
              <w:t>14q32.33/19q13.31-q13.32</w:t>
            </w:r>
          </w:p>
        </w:tc>
        <w:tc>
          <w:tcPr>
            <w:tcW w:w="2700" w:type="dxa"/>
            <w:noWrap/>
          </w:tcPr>
          <w:p w14:paraId="6148F5DA" w14:textId="33550C33" w:rsidR="007528DA" w:rsidRPr="003F004F" w:rsidRDefault="007528DA" w:rsidP="003F004F">
            <w:pPr>
              <w:rPr>
                <w:rFonts w:ascii="Calibri" w:hAnsi="Calibri" w:cs="Calibri"/>
                <w:sz w:val="24"/>
                <w:szCs w:val="24"/>
              </w:rPr>
            </w:pPr>
            <w:r>
              <w:rPr>
                <w:rFonts w:ascii="Calibri" w:hAnsi="Calibri" w:cs="Calibri"/>
                <w:sz w:val="24"/>
                <w:szCs w:val="24"/>
              </w:rPr>
              <w:t>Cytocell MPD10590</w:t>
            </w:r>
          </w:p>
        </w:tc>
      </w:tr>
    </w:tbl>
    <w:p w14:paraId="41557E92" w14:textId="77777777" w:rsidR="00BD7112" w:rsidRPr="00DC6906" w:rsidRDefault="00BD7112"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201421E1" w:rsidR="00DC6906" w:rsidRDefault="00DC6906" w:rsidP="003C45CD">
      <w:pPr>
        <w:spacing w:after="0" w:line="240" w:lineRule="auto"/>
        <w:rPr>
          <w:sz w:val="24"/>
          <w:szCs w:val="24"/>
        </w:rPr>
      </w:pPr>
      <w:r w:rsidRPr="00DC6906">
        <w:rPr>
          <w:sz w:val="24"/>
          <w:szCs w:val="24"/>
        </w:rPr>
        <w:t>88271</w:t>
      </w:r>
      <w:r w:rsidR="003C45CD">
        <w:rPr>
          <w:sz w:val="24"/>
          <w:szCs w:val="24"/>
        </w:rPr>
        <w:t>x</w:t>
      </w:r>
      <w:r w:rsidR="007528DA">
        <w:rPr>
          <w:sz w:val="24"/>
          <w:szCs w:val="24"/>
        </w:rPr>
        <w:t>3</w:t>
      </w:r>
      <w:r w:rsidRPr="00DC6906">
        <w:rPr>
          <w:sz w:val="24"/>
          <w:szCs w:val="24"/>
        </w:rPr>
        <w:t>, 88275</w:t>
      </w:r>
      <w:r w:rsidR="003C45CD">
        <w:rPr>
          <w:sz w:val="24"/>
          <w:szCs w:val="24"/>
        </w:rPr>
        <w:t>x</w:t>
      </w:r>
      <w:r w:rsidR="007528DA">
        <w:rPr>
          <w:sz w:val="24"/>
          <w:szCs w:val="24"/>
        </w:rPr>
        <w:t>3</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4357A9FF" w14:textId="77777777" w:rsidR="003E6ABE" w:rsidRPr="009A6D14" w:rsidRDefault="003E6ABE" w:rsidP="003E6ABE">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152172DB" w14:textId="77777777" w:rsidR="003E6ABE" w:rsidRPr="009A6D14" w:rsidRDefault="003E6ABE" w:rsidP="003E6ABE">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lastRenderedPageBreak/>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05CEE94C" w14:textId="77777777" w:rsidR="008824E3" w:rsidRDefault="008824E3" w:rsidP="003C45CD">
      <w:pPr>
        <w:spacing w:after="0" w:line="240" w:lineRule="auto"/>
        <w:rPr>
          <w:sz w:val="24"/>
          <w:szCs w:val="24"/>
        </w:rPr>
      </w:pPr>
      <w:r w:rsidRPr="008824E3">
        <w:rPr>
          <w:sz w:val="24"/>
          <w:szCs w:val="24"/>
        </w:rPr>
        <w:t>Chronic lymphocytic leukemia (CLL) is leukemia of small mature B-cells and mostly affect adults age 65 and above.  CLL is the most common lymphoid malignancy accounting for about 11% of all hematological malignancies and 25% of all leukemias.  Up to 50% of patients with CLL may have clonal cytogenetic abnormalities identified on routine chromosome analysis.  However, CLL clones (lymphocytes) do not divide in culture and are resistant to mitogens, thus making routine cytogenetic analysis more difficult.  FISH on the other hand is highly sensitive in detecting the genomic changes that have significant prognostic implications in CLL.</w:t>
      </w:r>
    </w:p>
    <w:p w14:paraId="300D5A25" w14:textId="77777777" w:rsidR="008824E3" w:rsidRDefault="008824E3" w:rsidP="003C45CD">
      <w:pPr>
        <w:spacing w:after="0" w:line="240" w:lineRule="auto"/>
        <w:rPr>
          <w:sz w:val="24"/>
          <w:szCs w:val="24"/>
        </w:rPr>
      </w:pPr>
    </w:p>
    <w:p w14:paraId="2E4FF608" w14:textId="6DD8C513" w:rsidR="00DC6906" w:rsidRPr="00DC6906" w:rsidRDefault="00DC6906" w:rsidP="003C45CD">
      <w:pPr>
        <w:spacing w:after="0" w:line="240" w:lineRule="auto"/>
        <w:rPr>
          <w:sz w:val="24"/>
          <w:szCs w:val="24"/>
        </w:rPr>
      </w:pPr>
      <w:r w:rsidRPr="00DC6906">
        <w:rPr>
          <w:b/>
          <w:bCs/>
          <w:sz w:val="24"/>
          <w:szCs w:val="24"/>
        </w:rPr>
        <w:t>Methods</w:t>
      </w:r>
    </w:p>
    <w:p w14:paraId="4C9E5218" w14:textId="215EFDFB" w:rsidR="00DC6906" w:rsidRPr="00DC6906" w:rsidRDefault="00DC6906" w:rsidP="00DC6906">
      <w:pPr>
        <w:rPr>
          <w:sz w:val="24"/>
          <w:szCs w:val="24"/>
        </w:rPr>
      </w:pPr>
      <w:r w:rsidRPr="00DC6906">
        <w:rPr>
          <w:sz w:val="24"/>
          <w:szCs w:val="24"/>
        </w:rPr>
        <w:t xml:space="preserve">The samples are usually cultured for </w:t>
      </w:r>
      <w:r w:rsidR="0058507A" w:rsidRPr="00DC6906">
        <w:rPr>
          <w:sz w:val="24"/>
          <w:szCs w:val="24"/>
        </w:rPr>
        <w:t>24 hours</w:t>
      </w:r>
      <w:r w:rsidRPr="00DC6906">
        <w:rPr>
          <w:sz w:val="24"/>
          <w:szCs w:val="24"/>
        </w:rPr>
        <w:t xml:space="preserve"> before hybridizing with the probes.  After hybridization and post-hybridization washes, the slides are analyzed under a fluorescence microscope equipped with epifluorescence and appropriate filter sets.  Analysis and scoring </w:t>
      </w:r>
      <w:r w:rsidR="0058507A" w:rsidRPr="00DC6906">
        <w:rPr>
          <w:sz w:val="24"/>
          <w:szCs w:val="24"/>
        </w:rPr>
        <w:t>are</w:t>
      </w:r>
      <w:r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301D55"/>
    <w:rsid w:val="00351762"/>
    <w:rsid w:val="00373EF8"/>
    <w:rsid w:val="003C45CD"/>
    <w:rsid w:val="003E6ABE"/>
    <w:rsid w:val="003F004F"/>
    <w:rsid w:val="0058507A"/>
    <w:rsid w:val="00630883"/>
    <w:rsid w:val="007528DA"/>
    <w:rsid w:val="007801C0"/>
    <w:rsid w:val="008824E3"/>
    <w:rsid w:val="00A461A5"/>
    <w:rsid w:val="00AF69EB"/>
    <w:rsid w:val="00BD7112"/>
    <w:rsid w:val="00BE25F9"/>
    <w:rsid w:val="00DC6906"/>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 w:type="table" w:styleId="TableGrid">
    <w:name w:val="Table Grid"/>
    <w:basedOn w:val="TableNormal"/>
    <w:uiPriority w:val="39"/>
    <w:rsid w:val="00BD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315498351">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995185352">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6</cp:revision>
  <dcterms:created xsi:type="dcterms:W3CDTF">2025-08-07T17:23:00Z</dcterms:created>
  <dcterms:modified xsi:type="dcterms:W3CDTF">2025-08-08T17:22:00Z</dcterms:modified>
</cp:coreProperties>
</file>