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778BFCFE" w:rsidR="00DC6906" w:rsidRDefault="00DC6906" w:rsidP="00DC6906">
      <w:pPr>
        <w:rPr>
          <w:b/>
          <w:bCs/>
          <w:sz w:val="32"/>
          <w:szCs w:val="32"/>
        </w:rPr>
      </w:pPr>
      <w:r w:rsidRPr="00DC6906">
        <w:rPr>
          <w:b/>
          <w:bCs/>
          <w:sz w:val="32"/>
          <w:szCs w:val="32"/>
        </w:rPr>
        <w:t xml:space="preserve">Fluorescence In Situ Hybridization – </w:t>
      </w:r>
      <w:r w:rsidR="00AB1BEF">
        <w:rPr>
          <w:b/>
          <w:bCs/>
          <w:sz w:val="32"/>
          <w:szCs w:val="32"/>
        </w:rPr>
        <w:t>Multiple Myleoma</w:t>
      </w:r>
      <w:r w:rsidRPr="00DC6906">
        <w:rPr>
          <w:b/>
          <w:bCs/>
          <w:sz w:val="32"/>
          <w:szCs w:val="32"/>
        </w:rPr>
        <w:t xml:space="preserve"> Panel</w:t>
      </w:r>
      <w:r w:rsidR="003C45CD" w:rsidRPr="003C45CD">
        <w:rPr>
          <w:b/>
          <w:bCs/>
          <w:sz w:val="32"/>
          <w:szCs w:val="32"/>
        </w:rPr>
        <w:t>s</w:t>
      </w:r>
    </w:p>
    <w:p w14:paraId="15273640" w14:textId="0FB816B3" w:rsidR="003C45CD" w:rsidRDefault="00AB1BEF" w:rsidP="00DC6906">
      <w:pPr>
        <w:rPr>
          <w:b/>
          <w:bCs/>
          <w:sz w:val="28"/>
          <w:szCs w:val="28"/>
        </w:rPr>
      </w:pPr>
      <w:r>
        <w:rPr>
          <w:b/>
          <w:bCs/>
          <w:sz w:val="28"/>
          <w:szCs w:val="28"/>
        </w:rPr>
        <w:t>MM - Myeloma</w:t>
      </w:r>
      <w:r w:rsidR="003C45CD" w:rsidRPr="003C45CD">
        <w:rPr>
          <w:b/>
          <w:bCs/>
          <w:sz w:val="28"/>
          <w:szCs w:val="28"/>
        </w:rPr>
        <w:t xml:space="preserve"> Panel</w:t>
      </w:r>
    </w:p>
    <w:p w14:paraId="57906B5E" w14:textId="77777777" w:rsidR="00301320" w:rsidRPr="00282808" w:rsidRDefault="00301320" w:rsidP="00301320">
      <w:pPr>
        <w:shd w:val="clear" w:color="auto" w:fill="FFFFFF"/>
        <w:spacing w:after="225" w:line="240" w:lineRule="auto"/>
        <w:outlineLvl w:val="2"/>
        <w:rPr>
          <w:rFonts w:eastAsia="Times New Roman" w:cs="Times New Roman"/>
          <w:color w:val="171717"/>
          <w:kern w:val="0"/>
          <w:sz w:val="28"/>
          <w:szCs w:val="28"/>
          <w14:ligatures w14:val="none"/>
        </w:rPr>
      </w:pPr>
      <w:r>
        <w:rPr>
          <w:rFonts w:eastAsia="Times New Roman" w:cs="Times New Roman"/>
          <w:color w:val="171717"/>
          <w:kern w:val="0"/>
          <w:sz w:val="28"/>
          <w:szCs w:val="28"/>
          <w14:ligatures w14:val="none"/>
        </w:rPr>
        <w:t>This is a basic myeloma panel with clinically highly significant genetic prognostic markers included.  The probes included in this panel are based on latest NCCN and ASCO guidelines.</w:t>
      </w:r>
    </w:p>
    <w:p w14:paraId="23F70BE7" w14:textId="5451D797" w:rsidR="00301320" w:rsidRDefault="00301320" w:rsidP="00DC6906">
      <w:pPr>
        <w:rPr>
          <w:b/>
          <w:bCs/>
          <w:sz w:val="28"/>
          <w:szCs w:val="28"/>
        </w:rPr>
      </w:pPr>
      <w:r w:rsidRPr="00301320">
        <w:rPr>
          <w:b/>
          <w:bCs/>
          <w:sz w:val="28"/>
          <w:szCs w:val="28"/>
        </w:rPr>
        <w:t>Probe List</w:t>
      </w:r>
    </w:p>
    <w:tbl>
      <w:tblPr>
        <w:tblW w:w="8540" w:type="dxa"/>
        <w:tblLook w:val="04A0" w:firstRow="1" w:lastRow="0" w:firstColumn="1" w:lastColumn="0" w:noHBand="0" w:noVBand="1"/>
      </w:tblPr>
      <w:tblGrid>
        <w:gridCol w:w="3000"/>
        <w:gridCol w:w="2610"/>
        <w:gridCol w:w="2930"/>
      </w:tblGrid>
      <w:tr w:rsidR="00301D55" w:rsidRPr="00301D55" w14:paraId="61A972AE" w14:textId="77777777" w:rsidTr="00D728E0">
        <w:trPr>
          <w:trHeight w:val="420"/>
        </w:trPr>
        <w:tc>
          <w:tcPr>
            <w:tcW w:w="30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01D807" w14:textId="1446B6E6" w:rsidR="00301D55" w:rsidRPr="00301D55" w:rsidRDefault="00AB1BEF" w:rsidP="00301D55">
            <w:pPr>
              <w:spacing w:after="0" w:line="240" w:lineRule="auto"/>
              <w:rPr>
                <w:rFonts w:ascii="Calibri" w:eastAsia="Times New Roman" w:hAnsi="Calibri" w:cs="Calibri"/>
                <w:b/>
                <w:bCs/>
                <w:color w:val="000000"/>
                <w:kern w:val="0"/>
                <w:sz w:val="32"/>
                <w:szCs w:val="32"/>
                <w14:ligatures w14:val="none"/>
              </w:rPr>
            </w:pPr>
            <w:r>
              <w:rPr>
                <w:rFonts w:ascii="Calibri" w:eastAsia="Times New Roman" w:hAnsi="Calibri" w:cs="Calibri"/>
                <w:b/>
                <w:bCs/>
                <w:color w:val="000000"/>
                <w:kern w:val="0"/>
                <w:sz w:val="32"/>
                <w:szCs w:val="32"/>
                <w14:ligatures w14:val="none"/>
              </w:rPr>
              <w:t>Myeloma Panel</w:t>
            </w:r>
          </w:p>
        </w:tc>
        <w:tc>
          <w:tcPr>
            <w:tcW w:w="2610" w:type="dxa"/>
            <w:tcBorders>
              <w:top w:val="single" w:sz="8" w:space="0" w:color="auto"/>
              <w:left w:val="nil"/>
              <w:bottom w:val="single" w:sz="4" w:space="0" w:color="auto"/>
              <w:right w:val="single" w:sz="4" w:space="0" w:color="auto"/>
            </w:tcBorders>
            <w:shd w:val="clear" w:color="auto" w:fill="auto"/>
            <w:noWrap/>
            <w:vAlign w:val="bottom"/>
            <w:hideMark/>
          </w:tcPr>
          <w:p w14:paraId="37C961E8"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c>
          <w:tcPr>
            <w:tcW w:w="2930" w:type="dxa"/>
            <w:tcBorders>
              <w:top w:val="single" w:sz="8" w:space="0" w:color="auto"/>
              <w:left w:val="nil"/>
              <w:bottom w:val="single" w:sz="4" w:space="0" w:color="auto"/>
              <w:right w:val="single" w:sz="8" w:space="0" w:color="auto"/>
            </w:tcBorders>
            <w:shd w:val="clear" w:color="auto" w:fill="auto"/>
            <w:noWrap/>
            <w:vAlign w:val="bottom"/>
            <w:hideMark/>
          </w:tcPr>
          <w:p w14:paraId="43BDC132"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r>
      <w:tr w:rsidR="00301D55" w:rsidRPr="00301D55" w14:paraId="74E62713" w14:textId="77777777" w:rsidTr="00D728E0">
        <w:trPr>
          <w:trHeight w:val="315"/>
        </w:trPr>
        <w:tc>
          <w:tcPr>
            <w:tcW w:w="3000" w:type="dxa"/>
            <w:tcBorders>
              <w:top w:val="nil"/>
              <w:left w:val="single" w:sz="8" w:space="0" w:color="auto"/>
              <w:bottom w:val="single" w:sz="4" w:space="0" w:color="auto"/>
              <w:right w:val="single" w:sz="4" w:space="0" w:color="auto"/>
            </w:tcBorders>
            <w:shd w:val="clear" w:color="000000" w:fill="D0CECE"/>
            <w:noWrap/>
            <w:vAlign w:val="bottom"/>
            <w:hideMark/>
          </w:tcPr>
          <w:p w14:paraId="3CA15D0B"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Probe Name</w:t>
            </w:r>
          </w:p>
        </w:tc>
        <w:tc>
          <w:tcPr>
            <w:tcW w:w="2610" w:type="dxa"/>
            <w:tcBorders>
              <w:top w:val="nil"/>
              <w:left w:val="nil"/>
              <w:bottom w:val="single" w:sz="4" w:space="0" w:color="auto"/>
              <w:right w:val="single" w:sz="4" w:space="0" w:color="auto"/>
            </w:tcBorders>
            <w:shd w:val="clear" w:color="000000" w:fill="D0CECE"/>
            <w:noWrap/>
            <w:vAlign w:val="bottom"/>
            <w:hideMark/>
          </w:tcPr>
          <w:p w14:paraId="157B550D"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Locus/CHR</w:t>
            </w:r>
          </w:p>
        </w:tc>
        <w:tc>
          <w:tcPr>
            <w:tcW w:w="2930" w:type="dxa"/>
            <w:tcBorders>
              <w:top w:val="nil"/>
              <w:left w:val="nil"/>
              <w:bottom w:val="single" w:sz="4" w:space="0" w:color="auto"/>
              <w:right w:val="single" w:sz="8" w:space="0" w:color="auto"/>
            </w:tcBorders>
            <w:shd w:val="clear" w:color="000000" w:fill="D0CECE"/>
            <w:noWrap/>
            <w:vAlign w:val="bottom"/>
            <w:hideMark/>
          </w:tcPr>
          <w:p w14:paraId="377A9656"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Catalogue #</w:t>
            </w:r>
          </w:p>
        </w:tc>
      </w:tr>
      <w:tr w:rsidR="00D728E0" w:rsidRPr="00301D55" w14:paraId="1BB5C837" w14:textId="77777777" w:rsidTr="00D728E0">
        <w:trPr>
          <w:trHeight w:val="315"/>
        </w:trPr>
        <w:tc>
          <w:tcPr>
            <w:tcW w:w="300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3C75E8D5" w14:textId="72797EF3" w:rsidR="00D728E0" w:rsidRPr="00D728E0" w:rsidRDefault="00D728E0" w:rsidP="00D728E0">
            <w:pPr>
              <w:spacing w:after="0" w:line="240" w:lineRule="auto"/>
              <w:rPr>
                <w:rFonts w:ascii="Calibri" w:eastAsia="Times New Roman" w:hAnsi="Calibri" w:cs="Calibri"/>
                <w:b/>
                <w:bCs/>
                <w:color w:val="000000"/>
                <w:kern w:val="0"/>
                <w:sz w:val="24"/>
                <w:szCs w:val="24"/>
                <w14:ligatures w14:val="none"/>
              </w:rPr>
            </w:pPr>
            <w:r w:rsidRPr="00D728E0">
              <w:rPr>
                <w:rFonts w:ascii="Calibri" w:hAnsi="Calibri" w:cs="Calibri"/>
                <w:b/>
                <w:bCs/>
                <w:color w:val="000000"/>
                <w:sz w:val="24"/>
                <w:szCs w:val="24"/>
              </w:rPr>
              <w:t>CDKN2C/CKS1B</w:t>
            </w:r>
          </w:p>
        </w:tc>
        <w:tc>
          <w:tcPr>
            <w:tcW w:w="2610" w:type="dxa"/>
            <w:tcBorders>
              <w:top w:val="single" w:sz="4" w:space="0" w:color="auto"/>
              <w:left w:val="nil"/>
              <w:bottom w:val="single" w:sz="4" w:space="0" w:color="auto"/>
              <w:right w:val="single" w:sz="8" w:space="0" w:color="auto"/>
            </w:tcBorders>
            <w:shd w:val="clear" w:color="000000" w:fill="FFFFFF"/>
            <w:noWrap/>
            <w:vAlign w:val="bottom"/>
            <w:hideMark/>
          </w:tcPr>
          <w:p w14:paraId="127200A2" w14:textId="66445B7F"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1p32.3/1q21-q22</w:t>
            </w:r>
          </w:p>
        </w:tc>
        <w:tc>
          <w:tcPr>
            <w:tcW w:w="2930" w:type="dxa"/>
            <w:tcBorders>
              <w:top w:val="single" w:sz="4" w:space="0" w:color="auto"/>
              <w:left w:val="nil"/>
              <w:bottom w:val="single" w:sz="4" w:space="0" w:color="auto"/>
              <w:right w:val="single" w:sz="8" w:space="0" w:color="auto"/>
            </w:tcBorders>
            <w:shd w:val="clear" w:color="000000" w:fill="FFFFFF"/>
            <w:noWrap/>
            <w:vAlign w:val="bottom"/>
            <w:hideMark/>
          </w:tcPr>
          <w:p w14:paraId="3A8F04BE" w14:textId="5BCD788C"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Cytocell LPH039</w:t>
            </w:r>
          </w:p>
        </w:tc>
      </w:tr>
      <w:tr w:rsidR="00D728E0" w:rsidRPr="00301D55" w14:paraId="5C2DB8C4" w14:textId="77777777" w:rsidTr="00D728E0">
        <w:trPr>
          <w:trHeight w:val="315"/>
        </w:trPr>
        <w:tc>
          <w:tcPr>
            <w:tcW w:w="3000" w:type="dxa"/>
            <w:tcBorders>
              <w:top w:val="nil"/>
              <w:left w:val="single" w:sz="8" w:space="0" w:color="auto"/>
              <w:bottom w:val="single" w:sz="4" w:space="0" w:color="auto"/>
              <w:right w:val="single" w:sz="8" w:space="0" w:color="auto"/>
            </w:tcBorders>
            <w:shd w:val="clear" w:color="auto" w:fill="auto"/>
            <w:noWrap/>
            <w:vAlign w:val="bottom"/>
            <w:hideMark/>
          </w:tcPr>
          <w:p w14:paraId="27CE9BA2" w14:textId="4C72A291" w:rsidR="00D728E0" w:rsidRPr="00D728E0" w:rsidRDefault="00D728E0" w:rsidP="00D728E0">
            <w:pPr>
              <w:spacing w:after="0" w:line="240" w:lineRule="auto"/>
              <w:rPr>
                <w:rFonts w:ascii="Calibri" w:eastAsia="Times New Roman" w:hAnsi="Calibri" w:cs="Calibri"/>
                <w:b/>
                <w:bCs/>
                <w:color w:val="000000"/>
                <w:kern w:val="0"/>
                <w:sz w:val="24"/>
                <w:szCs w:val="24"/>
                <w14:ligatures w14:val="none"/>
              </w:rPr>
            </w:pPr>
            <w:r w:rsidRPr="00D728E0">
              <w:rPr>
                <w:rFonts w:ascii="Calibri" w:hAnsi="Calibri" w:cs="Calibri"/>
                <w:b/>
                <w:bCs/>
                <w:color w:val="000000"/>
                <w:sz w:val="24"/>
                <w:szCs w:val="24"/>
              </w:rPr>
              <w:t>D10Z1/D17Z1</w:t>
            </w:r>
          </w:p>
        </w:tc>
        <w:tc>
          <w:tcPr>
            <w:tcW w:w="2610" w:type="dxa"/>
            <w:tcBorders>
              <w:top w:val="nil"/>
              <w:left w:val="nil"/>
              <w:bottom w:val="single" w:sz="4" w:space="0" w:color="auto"/>
              <w:right w:val="single" w:sz="8" w:space="0" w:color="auto"/>
            </w:tcBorders>
            <w:shd w:val="clear" w:color="auto" w:fill="auto"/>
            <w:noWrap/>
            <w:vAlign w:val="bottom"/>
            <w:hideMark/>
          </w:tcPr>
          <w:p w14:paraId="3C354B6D" w14:textId="1E0A1237"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Chromosomes 10/17</w:t>
            </w:r>
          </w:p>
        </w:tc>
        <w:tc>
          <w:tcPr>
            <w:tcW w:w="2930" w:type="dxa"/>
            <w:tcBorders>
              <w:top w:val="nil"/>
              <w:left w:val="nil"/>
              <w:bottom w:val="single" w:sz="4" w:space="0" w:color="auto"/>
              <w:right w:val="single" w:sz="8" w:space="0" w:color="auto"/>
            </w:tcBorders>
            <w:shd w:val="clear" w:color="auto" w:fill="auto"/>
            <w:noWrap/>
            <w:vAlign w:val="bottom"/>
            <w:hideMark/>
          </w:tcPr>
          <w:p w14:paraId="639B6991" w14:textId="017B4021"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Cytocell LPE010G/LPE017R</w:t>
            </w:r>
          </w:p>
        </w:tc>
      </w:tr>
      <w:tr w:rsidR="00D728E0" w:rsidRPr="00301D55" w14:paraId="578475C6" w14:textId="77777777" w:rsidTr="00D728E0">
        <w:trPr>
          <w:trHeight w:val="315"/>
        </w:trPr>
        <w:tc>
          <w:tcPr>
            <w:tcW w:w="3000" w:type="dxa"/>
            <w:tcBorders>
              <w:top w:val="nil"/>
              <w:left w:val="single" w:sz="8" w:space="0" w:color="auto"/>
              <w:bottom w:val="single" w:sz="4" w:space="0" w:color="auto"/>
              <w:right w:val="single" w:sz="8" w:space="0" w:color="auto"/>
            </w:tcBorders>
            <w:shd w:val="clear" w:color="auto" w:fill="auto"/>
            <w:noWrap/>
            <w:vAlign w:val="bottom"/>
            <w:hideMark/>
          </w:tcPr>
          <w:p w14:paraId="61160FEB" w14:textId="73FCFB14" w:rsidR="00D728E0" w:rsidRPr="00D728E0" w:rsidRDefault="00D728E0" w:rsidP="00D728E0">
            <w:pPr>
              <w:spacing w:after="0" w:line="240" w:lineRule="auto"/>
              <w:rPr>
                <w:rFonts w:ascii="Calibri" w:eastAsia="Times New Roman" w:hAnsi="Calibri" w:cs="Calibri"/>
                <w:b/>
                <w:bCs/>
                <w:color w:val="000000"/>
                <w:kern w:val="0"/>
                <w:sz w:val="24"/>
                <w:szCs w:val="24"/>
                <w14:ligatures w14:val="none"/>
              </w:rPr>
            </w:pPr>
            <w:r w:rsidRPr="00D728E0">
              <w:rPr>
                <w:rFonts w:ascii="Calibri" w:hAnsi="Calibri" w:cs="Calibri"/>
                <w:b/>
                <w:bCs/>
                <w:color w:val="000000"/>
                <w:sz w:val="24"/>
                <w:szCs w:val="24"/>
              </w:rPr>
              <w:t>D11Z1/ATM</w:t>
            </w:r>
          </w:p>
        </w:tc>
        <w:tc>
          <w:tcPr>
            <w:tcW w:w="2610" w:type="dxa"/>
            <w:tcBorders>
              <w:top w:val="nil"/>
              <w:left w:val="nil"/>
              <w:bottom w:val="single" w:sz="4" w:space="0" w:color="auto"/>
              <w:right w:val="single" w:sz="8" w:space="0" w:color="auto"/>
            </w:tcBorders>
            <w:shd w:val="clear" w:color="auto" w:fill="auto"/>
            <w:noWrap/>
            <w:vAlign w:val="bottom"/>
            <w:hideMark/>
          </w:tcPr>
          <w:p w14:paraId="266D869C" w14:textId="68E423EE"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11p11.1-q11.1/11q22.3</w:t>
            </w:r>
          </w:p>
        </w:tc>
        <w:tc>
          <w:tcPr>
            <w:tcW w:w="2930" w:type="dxa"/>
            <w:tcBorders>
              <w:top w:val="nil"/>
              <w:left w:val="nil"/>
              <w:bottom w:val="single" w:sz="4" w:space="0" w:color="auto"/>
              <w:right w:val="single" w:sz="8" w:space="0" w:color="auto"/>
            </w:tcBorders>
            <w:shd w:val="clear" w:color="auto" w:fill="auto"/>
            <w:noWrap/>
            <w:vAlign w:val="bottom"/>
            <w:hideMark/>
          </w:tcPr>
          <w:p w14:paraId="52D1D926" w14:textId="16A85ABE"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Cytocell LPH011</w:t>
            </w:r>
          </w:p>
        </w:tc>
      </w:tr>
      <w:tr w:rsidR="00D728E0" w:rsidRPr="00301D55" w14:paraId="0296D677" w14:textId="77777777" w:rsidTr="00D728E0">
        <w:trPr>
          <w:trHeight w:val="315"/>
        </w:trPr>
        <w:tc>
          <w:tcPr>
            <w:tcW w:w="3000" w:type="dxa"/>
            <w:tcBorders>
              <w:top w:val="nil"/>
              <w:left w:val="single" w:sz="8" w:space="0" w:color="auto"/>
              <w:bottom w:val="single" w:sz="4" w:space="0" w:color="auto"/>
              <w:right w:val="single" w:sz="8" w:space="0" w:color="auto"/>
            </w:tcBorders>
            <w:shd w:val="clear" w:color="auto" w:fill="auto"/>
            <w:noWrap/>
            <w:vAlign w:val="bottom"/>
            <w:hideMark/>
          </w:tcPr>
          <w:p w14:paraId="0FA70726" w14:textId="4EF3150B" w:rsidR="00D728E0" w:rsidRPr="00D728E0" w:rsidRDefault="00D728E0" w:rsidP="00D728E0">
            <w:pPr>
              <w:spacing w:after="0" w:line="240" w:lineRule="auto"/>
              <w:rPr>
                <w:rFonts w:ascii="Calibri" w:eastAsia="Times New Roman" w:hAnsi="Calibri" w:cs="Calibri"/>
                <w:b/>
                <w:bCs/>
                <w:color w:val="000000"/>
                <w:kern w:val="0"/>
                <w:sz w:val="24"/>
                <w:szCs w:val="24"/>
                <w14:ligatures w14:val="none"/>
              </w:rPr>
            </w:pPr>
            <w:r w:rsidRPr="00D728E0">
              <w:rPr>
                <w:rFonts w:ascii="Calibri" w:hAnsi="Calibri" w:cs="Calibri"/>
                <w:b/>
                <w:bCs/>
                <w:color w:val="000000"/>
                <w:sz w:val="24"/>
                <w:szCs w:val="24"/>
              </w:rPr>
              <w:t>D13S319,D13S828/D13S293</w:t>
            </w:r>
          </w:p>
        </w:tc>
        <w:tc>
          <w:tcPr>
            <w:tcW w:w="2610" w:type="dxa"/>
            <w:tcBorders>
              <w:top w:val="nil"/>
              <w:left w:val="nil"/>
              <w:bottom w:val="single" w:sz="4" w:space="0" w:color="auto"/>
              <w:right w:val="single" w:sz="8" w:space="0" w:color="auto"/>
            </w:tcBorders>
            <w:shd w:val="clear" w:color="auto" w:fill="auto"/>
            <w:noWrap/>
            <w:vAlign w:val="bottom"/>
            <w:hideMark/>
          </w:tcPr>
          <w:p w14:paraId="15C9E498" w14:textId="369E8CC8"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13q14.2-q14.3/13q34</w:t>
            </w:r>
          </w:p>
        </w:tc>
        <w:tc>
          <w:tcPr>
            <w:tcW w:w="2930" w:type="dxa"/>
            <w:tcBorders>
              <w:top w:val="nil"/>
              <w:left w:val="nil"/>
              <w:bottom w:val="single" w:sz="4" w:space="0" w:color="auto"/>
              <w:right w:val="single" w:sz="8" w:space="0" w:color="auto"/>
            </w:tcBorders>
            <w:shd w:val="clear" w:color="auto" w:fill="auto"/>
            <w:noWrap/>
            <w:vAlign w:val="bottom"/>
            <w:hideMark/>
          </w:tcPr>
          <w:p w14:paraId="7D536000" w14:textId="39C8E344"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Cytocell LPH068</w:t>
            </w:r>
          </w:p>
        </w:tc>
      </w:tr>
      <w:tr w:rsidR="00D728E0" w:rsidRPr="00301D55" w14:paraId="004AD7E0" w14:textId="77777777" w:rsidTr="00D728E0">
        <w:trPr>
          <w:trHeight w:val="315"/>
        </w:trPr>
        <w:tc>
          <w:tcPr>
            <w:tcW w:w="3000" w:type="dxa"/>
            <w:tcBorders>
              <w:top w:val="nil"/>
              <w:left w:val="single" w:sz="8" w:space="0" w:color="auto"/>
              <w:bottom w:val="single" w:sz="4" w:space="0" w:color="auto"/>
              <w:right w:val="single" w:sz="8" w:space="0" w:color="auto"/>
            </w:tcBorders>
            <w:shd w:val="clear" w:color="auto" w:fill="auto"/>
            <w:noWrap/>
            <w:vAlign w:val="bottom"/>
          </w:tcPr>
          <w:p w14:paraId="1D4C25E5" w14:textId="6AC3710E" w:rsidR="00D728E0" w:rsidRPr="00D728E0" w:rsidRDefault="00D728E0" w:rsidP="00D728E0">
            <w:pPr>
              <w:spacing w:after="0" w:line="240" w:lineRule="auto"/>
              <w:rPr>
                <w:rFonts w:ascii="Calibri" w:eastAsia="Times New Roman" w:hAnsi="Calibri" w:cs="Calibri"/>
                <w:b/>
                <w:bCs/>
                <w:color w:val="000000"/>
                <w:kern w:val="0"/>
                <w:sz w:val="24"/>
                <w:szCs w:val="24"/>
                <w14:ligatures w14:val="none"/>
              </w:rPr>
            </w:pPr>
            <w:r w:rsidRPr="00D728E0">
              <w:rPr>
                <w:rFonts w:ascii="Calibri" w:hAnsi="Calibri" w:cs="Calibri"/>
                <w:b/>
                <w:bCs/>
                <w:color w:val="000000"/>
                <w:sz w:val="24"/>
                <w:szCs w:val="24"/>
              </w:rPr>
              <w:t>IGH</w:t>
            </w:r>
          </w:p>
        </w:tc>
        <w:tc>
          <w:tcPr>
            <w:tcW w:w="2610" w:type="dxa"/>
            <w:tcBorders>
              <w:top w:val="nil"/>
              <w:left w:val="nil"/>
              <w:bottom w:val="single" w:sz="4" w:space="0" w:color="auto"/>
              <w:right w:val="single" w:sz="8" w:space="0" w:color="auto"/>
            </w:tcBorders>
            <w:shd w:val="clear" w:color="auto" w:fill="auto"/>
            <w:noWrap/>
            <w:vAlign w:val="bottom"/>
          </w:tcPr>
          <w:p w14:paraId="0D5673CC" w14:textId="66D51F9E"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14q32.33</w:t>
            </w:r>
          </w:p>
        </w:tc>
        <w:tc>
          <w:tcPr>
            <w:tcW w:w="2930" w:type="dxa"/>
            <w:tcBorders>
              <w:top w:val="nil"/>
              <w:left w:val="nil"/>
              <w:bottom w:val="single" w:sz="4" w:space="0" w:color="auto"/>
              <w:right w:val="single" w:sz="8" w:space="0" w:color="auto"/>
            </w:tcBorders>
            <w:shd w:val="clear" w:color="auto" w:fill="auto"/>
            <w:noWrap/>
            <w:vAlign w:val="bottom"/>
          </w:tcPr>
          <w:p w14:paraId="48A51607" w14:textId="192AE211"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Cytocell LPH014</w:t>
            </w:r>
          </w:p>
        </w:tc>
      </w:tr>
      <w:tr w:rsidR="00D728E0" w:rsidRPr="00301D55" w14:paraId="1B4A8F8E" w14:textId="77777777" w:rsidTr="00D728E0">
        <w:trPr>
          <w:trHeight w:val="330"/>
        </w:trPr>
        <w:tc>
          <w:tcPr>
            <w:tcW w:w="3000" w:type="dxa"/>
            <w:tcBorders>
              <w:top w:val="nil"/>
              <w:left w:val="single" w:sz="8" w:space="0" w:color="auto"/>
              <w:bottom w:val="single" w:sz="8" w:space="0" w:color="auto"/>
              <w:right w:val="single" w:sz="8" w:space="0" w:color="auto"/>
            </w:tcBorders>
            <w:shd w:val="clear" w:color="auto" w:fill="auto"/>
            <w:noWrap/>
            <w:vAlign w:val="bottom"/>
            <w:hideMark/>
          </w:tcPr>
          <w:p w14:paraId="6FAE4D72" w14:textId="3FB6E900" w:rsidR="00D728E0" w:rsidRPr="00D728E0" w:rsidRDefault="00D728E0" w:rsidP="00D728E0">
            <w:pPr>
              <w:spacing w:after="0" w:line="240" w:lineRule="auto"/>
              <w:rPr>
                <w:rFonts w:ascii="Calibri" w:eastAsia="Times New Roman" w:hAnsi="Calibri" w:cs="Calibri"/>
                <w:b/>
                <w:bCs/>
                <w:color w:val="000000"/>
                <w:kern w:val="0"/>
                <w:sz w:val="24"/>
                <w:szCs w:val="24"/>
                <w14:ligatures w14:val="none"/>
              </w:rPr>
            </w:pPr>
            <w:r w:rsidRPr="00D728E0">
              <w:rPr>
                <w:rFonts w:ascii="Calibri" w:hAnsi="Calibri" w:cs="Calibri"/>
                <w:b/>
                <w:bCs/>
                <w:color w:val="000000"/>
                <w:sz w:val="24"/>
                <w:szCs w:val="24"/>
              </w:rPr>
              <w:t>TP53/D17Z1</w:t>
            </w:r>
          </w:p>
        </w:tc>
        <w:tc>
          <w:tcPr>
            <w:tcW w:w="2610" w:type="dxa"/>
            <w:tcBorders>
              <w:top w:val="nil"/>
              <w:left w:val="nil"/>
              <w:bottom w:val="single" w:sz="8" w:space="0" w:color="auto"/>
              <w:right w:val="single" w:sz="8" w:space="0" w:color="auto"/>
            </w:tcBorders>
            <w:shd w:val="clear" w:color="auto" w:fill="auto"/>
            <w:noWrap/>
            <w:vAlign w:val="bottom"/>
            <w:hideMark/>
          </w:tcPr>
          <w:p w14:paraId="0CDE13CB" w14:textId="3D8D7CD7"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17p13.1/17p11.1-q11.1</w:t>
            </w:r>
          </w:p>
        </w:tc>
        <w:tc>
          <w:tcPr>
            <w:tcW w:w="2930" w:type="dxa"/>
            <w:tcBorders>
              <w:top w:val="nil"/>
              <w:left w:val="nil"/>
              <w:bottom w:val="single" w:sz="8" w:space="0" w:color="auto"/>
              <w:right w:val="single" w:sz="8" w:space="0" w:color="auto"/>
            </w:tcBorders>
            <w:shd w:val="clear" w:color="auto" w:fill="auto"/>
            <w:noWrap/>
            <w:vAlign w:val="bottom"/>
            <w:hideMark/>
          </w:tcPr>
          <w:p w14:paraId="3EAA033A" w14:textId="76CA0951" w:rsidR="00D728E0" w:rsidRPr="00D728E0" w:rsidRDefault="00D728E0" w:rsidP="00D728E0">
            <w:pPr>
              <w:spacing w:after="0" w:line="240" w:lineRule="auto"/>
              <w:rPr>
                <w:rFonts w:ascii="Calibri" w:eastAsia="Times New Roman" w:hAnsi="Calibri" w:cs="Calibri"/>
                <w:color w:val="000000"/>
                <w:kern w:val="0"/>
                <w:sz w:val="24"/>
                <w:szCs w:val="24"/>
                <w14:ligatures w14:val="none"/>
              </w:rPr>
            </w:pPr>
            <w:r w:rsidRPr="00D728E0">
              <w:rPr>
                <w:rFonts w:ascii="Calibri" w:hAnsi="Calibri" w:cs="Calibri"/>
                <w:color w:val="000000"/>
                <w:sz w:val="24"/>
                <w:szCs w:val="24"/>
              </w:rPr>
              <w:t>Cytocell LPH017</w:t>
            </w:r>
          </w:p>
        </w:tc>
      </w:tr>
    </w:tbl>
    <w:p w14:paraId="6DE7DA6F" w14:textId="77777777" w:rsidR="003C45CD" w:rsidRPr="00DC6906" w:rsidRDefault="003C45CD" w:rsidP="00DC6906">
      <w:pPr>
        <w:rPr>
          <w:b/>
          <w:bCs/>
          <w:sz w:val="28"/>
          <w:szCs w:val="28"/>
        </w:rPr>
      </w:pPr>
    </w:p>
    <w:p w14:paraId="79D05E57" w14:textId="77777777"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49FCE484" w:rsidR="00DC6906" w:rsidRDefault="00DC6906" w:rsidP="003C45CD">
      <w:pPr>
        <w:spacing w:after="0" w:line="240" w:lineRule="auto"/>
        <w:rPr>
          <w:sz w:val="24"/>
          <w:szCs w:val="24"/>
        </w:rPr>
      </w:pPr>
      <w:r w:rsidRPr="00DC6906">
        <w:rPr>
          <w:sz w:val="24"/>
          <w:szCs w:val="24"/>
        </w:rPr>
        <w:t>88271</w:t>
      </w:r>
      <w:r w:rsidR="003C45CD">
        <w:rPr>
          <w:sz w:val="24"/>
          <w:szCs w:val="24"/>
        </w:rPr>
        <w:t>x</w:t>
      </w:r>
      <w:r w:rsidR="00D728E0">
        <w:rPr>
          <w:sz w:val="24"/>
          <w:szCs w:val="24"/>
        </w:rPr>
        <w:t>8</w:t>
      </w:r>
      <w:r w:rsidRPr="00DC6906">
        <w:rPr>
          <w:sz w:val="24"/>
          <w:szCs w:val="24"/>
        </w:rPr>
        <w:t>, 88275</w:t>
      </w:r>
      <w:r w:rsidR="003C45CD">
        <w:rPr>
          <w:sz w:val="24"/>
          <w:szCs w:val="24"/>
        </w:rPr>
        <w:t>x</w:t>
      </w:r>
      <w:r w:rsidR="00D728E0">
        <w:rPr>
          <w:sz w:val="24"/>
          <w:szCs w:val="24"/>
        </w:rPr>
        <w:t>8</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75D3381D" w14:textId="77777777" w:rsidR="005D4CBE" w:rsidRPr="005D4CBE" w:rsidRDefault="005D4CBE" w:rsidP="005D4CBE">
      <w:pPr>
        <w:rPr>
          <w:sz w:val="24"/>
          <w:szCs w:val="24"/>
        </w:rPr>
      </w:pPr>
      <w:r w:rsidRPr="005D4CBE">
        <w:rPr>
          <w:b/>
          <w:bCs/>
          <w:sz w:val="24"/>
          <w:szCs w:val="24"/>
        </w:rPr>
        <w:t>Turnaround Time</w:t>
      </w:r>
    </w:p>
    <w:p w14:paraId="431CA353" w14:textId="77777777" w:rsidR="005D4CBE" w:rsidRPr="005D4CBE" w:rsidRDefault="005D4CBE" w:rsidP="005D4CBE">
      <w:pPr>
        <w:rPr>
          <w:sz w:val="24"/>
          <w:szCs w:val="24"/>
        </w:rPr>
      </w:pPr>
      <w:r w:rsidRPr="005D4CBE">
        <w:rPr>
          <w:sz w:val="24"/>
          <w:szCs w:val="24"/>
        </w:rPr>
        <w:lastRenderedPageBreak/>
        <w:t xml:space="preserve">Final report in 7-10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164B0BDB" w14:textId="6882D2FD" w:rsidR="00D728E0" w:rsidRPr="00D728E0" w:rsidRDefault="00D728E0" w:rsidP="00D728E0">
      <w:pPr>
        <w:spacing w:after="0" w:line="240" w:lineRule="auto"/>
        <w:rPr>
          <w:sz w:val="24"/>
          <w:szCs w:val="24"/>
        </w:rPr>
      </w:pPr>
      <w:r w:rsidRPr="00D728E0">
        <w:rPr>
          <w:sz w:val="24"/>
          <w:szCs w:val="24"/>
        </w:rPr>
        <w:t xml:space="preserve">Plasma cell disorders are genetically diverse group of diseases arising from malignant proliferation of monoclonal population of plasma cells.  This group consists of monoclonal gammopathy of undetermined significance (MGUS), plasma cytoma, smoldering myeloma, and plasma cell myeloma or multiple myeloma.  Genomic abnormalities are important prognostic factors in myeloma.  Routine chromosome anlaysis is often </w:t>
      </w:r>
      <w:r w:rsidR="00882C8C" w:rsidRPr="00D728E0">
        <w:rPr>
          <w:sz w:val="24"/>
          <w:szCs w:val="24"/>
        </w:rPr>
        <w:t>limited</w:t>
      </w:r>
      <w:r w:rsidRPr="00D728E0">
        <w:rPr>
          <w:sz w:val="24"/>
          <w:szCs w:val="24"/>
        </w:rPr>
        <w:t xml:space="preserve"> and is not efficient in detecting these genomic abnormalities since there is limited infiltration of plasma cells in the bone marrow and also due to the slow proliferation of plasma cells.</w:t>
      </w:r>
    </w:p>
    <w:p w14:paraId="58129963" w14:textId="77777777" w:rsidR="00D728E0" w:rsidRPr="00D728E0" w:rsidRDefault="00D728E0" w:rsidP="00D728E0">
      <w:pPr>
        <w:spacing w:after="0" w:line="240" w:lineRule="auto"/>
        <w:rPr>
          <w:sz w:val="24"/>
          <w:szCs w:val="24"/>
        </w:rPr>
      </w:pPr>
    </w:p>
    <w:p w14:paraId="71112190" w14:textId="77777777" w:rsidR="00D728E0" w:rsidRDefault="00D728E0" w:rsidP="00D728E0">
      <w:pPr>
        <w:spacing w:after="0" w:line="240" w:lineRule="auto"/>
        <w:rPr>
          <w:sz w:val="24"/>
          <w:szCs w:val="24"/>
        </w:rPr>
      </w:pPr>
      <w:r w:rsidRPr="00D728E0">
        <w:rPr>
          <w:sz w:val="24"/>
          <w:szCs w:val="24"/>
        </w:rPr>
        <w:t>Studies have shown enrichment for plasma cells is most efficient in detecting these prognostically significant genomic abnormalities.  Our lab has unique expertise in isolating plasma cells and using the negative fraction for routine chromosome analysis to detect non-plasma cell abnormalities.  In fact, we are the first laboratory to design a protocol utilizing the negative fraction for chromosome analysis with considerable success.</w:t>
      </w:r>
    </w:p>
    <w:p w14:paraId="206D49AD" w14:textId="77777777" w:rsidR="00D728E0" w:rsidRDefault="00D728E0" w:rsidP="00D728E0">
      <w:pPr>
        <w:spacing w:after="0" w:line="240" w:lineRule="auto"/>
        <w:rPr>
          <w:sz w:val="24"/>
          <w:szCs w:val="24"/>
        </w:rPr>
      </w:pPr>
    </w:p>
    <w:p w14:paraId="2E4FF608" w14:textId="39417D36" w:rsidR="00DC6906" w:rsidRPr="00DC6906" w:rsidRDefault="00DC6906" w:rsidP="00D728E0">
      <w:pPr>
        <w:spacing w:after="0" w:line="240" w:lineRule="auto"/>
        <w:rPr>
          <w:sz w:val="24"/>
          <w:szCs w:val="24"/>
        </w:rPr>
      </w:pPr>
      <w:r w:rsidRPr="00DC6906">
        <w:rPr>
          <w:b/>
          <w:bCs/>
          <w:sz w:val="24"/>
          <w:szCs w:val="24"/>
        </w:rPr>
        <w:t>Methods</w:t>
      </w:r>
    </w:p>
    <w:p w14:paraId="4C9E5218" w14:textId="261D76E2" w:rsidR="00DC6906" w:rsidRPr="00DC6906" w:rsidRDefault="00D728E0" w:rsidP="00DC6906">
      <w:pPr>
        <w:rPr>
          <w:sz w:val="24"/>
          <w:szCs w:val="24"/>
        </w:rPr>
      </w:pPr>
      <w:r w:rsidRPr="00D728E0">
        <w:rPr>
          <w:sz w:val="24"/>
          <w:szCs w:val="24"/>
        </w:rPr>
        <w:t>The plasma cells are isolated using a CD134 magnetic antibody separation method. The isolated plasma cells are harvested and hybridized with the probes.</w:t>
      </w:r>
      <w:r w:rsidR="00DC6906" w:rsidRPr="00DC6906">
        <w:rPr>
          <w:sz w:val="24"/>
          <w:szCs w:val="24"/>
        </w:rPr>
        <w:t xml:space="preserve">  After hybridization and post-hybridization washes, the slides are analyzed under a fluorescence microscope equipped with epifluorescence and appropriate filter sets.  Analysis and scoring </w:t>
      </w:r>
      <w:r w:rsidR="00882C8C" w:rsidRPr="00DC6906">
        <w:rPr>
          <w:sz w:val="24"/>
          <w:szCs w:val="24"/>
        </w:rPr>
        <w:t>are</w:t>
      </w:r>
      <w:r w:rsidR="00DC6906" w:rsidRPr="00DC6906">
        <w:rPr>
          <w:sz w:val="24"/>
          <w:szCs w:val="24"/>
        </w:rPr>
        <w:t xml:space="preserve"> carried out by two certified technologists in a blinded fashion.  Results are reviewed by both the laboratory manager and the director. </w:t>
      </w:r>
    </w:p>
    <w:p w14:paraId="1EE1D2AA" w14:textId="77777777"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175ECF"/>
    <w:rsid w:val="0020428C"/>
    <w:rsid w:val="00301320"/>
    <w:rsid w:val="00301D55"/>
    <w:rsid w:val="00351762"/>
    <w:rsid w:val="003C45CD"/>
    <w:rsid w:val="005D4CBE"/>
    <w:rsid w:val="00630883"/>
    <w:rsid w:val="007801C0"/>
    <w:rsid w:val="00882C8C"/>
    <w:rsid w:val="00AB1BEF"/>
    <w:rsid w:val="00C01362"/>
    <w:rsid w:val="00D728E0"/>
    <w:rsid w:val="00DC6906"/>
    <w:rsid w:val="00DF70A0"/>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618529679">
      <w:bodyDiv w:val="1"/>
      <w:marLeft w:val="0"/>
      <w:marRight w:val="0"/>
      <w:marTop w:val="0"/>
      <w:marBottom w:val="0"/>
      <w:divBdr>
        <w:top w:val="none" w:sz="0" w:space="0" w:color="auto"/>
        <w:left w:val="none" w:sz="0" w:space="0" w:color="auto"/>
        <w:bottom w:val="none" w:sz="0" w:space="0" w:color="auto"/>
        <w:right w:val="none" w:sz="0" w:space="0" w:color="auto"/>
      </w:divBdr>
    </w:div>
    <w:div w:id="1040935010">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7</cp:revision>
  <dcterms:created xsi:type="dcterms:W3CDTF">2025-08-08T15:22:00Z</dcterms:created>
  <dcterms:modified xsi:type="dcterms:W3CDTF">2025-08-08T17:24:00Z</dcterms:modified>
</cp:coreProperties>
</file>